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2" w:lineRule="atLeast"/>
        <w:jc w:val="center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资产管理处 招标采购中心</w:t>
      </w:r>
    </w:p>
    <w:p>
      <w:pPr>
        <w:widowControl/>
        <w:adjustRightInd w:val="0"/>
        <w:snapToGrid w:val="0"/>
        <w:spacing w:line="562" w:lineRule="atLeast"/>
        <w:jc w:val="center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20</w:t>
      </w: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－20</w:t>
      </w:r>
      <w:r>
        <w:rPr>
          <w:rFonts w:ascii="方正小标宋简体" w:hAnsi="����" w:eastAsia="方正小标宋简体" w:cs="宋体"/>
          <w:color w:val="666666"/>
          <w:kern w:val="0"/>
          <w:sz w:val="36"/>
          <w:szCs w:val="36"/>
        </w:rPr>
        <w:t>2</w:t>
      </w: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年度信息公开工作报告</w:t>
      </w:r>
    </w:p>
    <w:p>
      <w:pPr>
        <w:widowControl/>
        <w:adjustRightInd w:val="0"/>
        <w:snapToGrid w:val="0"/>
        <w:spacing w:line="562" w:lineRule="atLeast"/>
        <w:ind w:firstLine="662"/>
        <w:rPr>
          <w:rFonts w:ascii="仿宋" w:hAnsi="仿宋" w:eastAsia="仿宋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资产管理处、招标采购中心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按照学校《关于做好学校党务公开信息公开相关工作的通知》（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〔2021〕30号）要求，认真总结了2020-2021年度信息公开的情况。在本年度资产管理处、招标采购中心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认真贯彻落实上级和学校关于信息公开的规定，严格履行岗位职责和工作目标任务，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自觉执行《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资产管理处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招标采购中心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信息公开实施细则》，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对工作中须公开的信息全部进行了及时公开，做到了“以公开为常态，以不公开为例外”。信息沟通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渠道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顺畅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保障了师生和社会公众的知情权、参与权和监督权。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工作领导小组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对20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年9月1日至20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年8月31日的信息公开工作进行了检查。现将公开情况总结如下：</w:t>
      </w:r>
    </w:p>
    <w:p>
      <w:pPr>
        <w:widowControl/>
        <w:adjustRightInd w:val="0"/>
        <w:snapToGrid w:val="0"/>
        <w:spacing w:line="562" w:lineRule="atLeast"/>
        <w:ind w:firstLine="662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一、对新的规章制度及制度修订、流程再造及时公开。对照新政策、新情况，适时进行制度的制定和修订，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不断完善管理制度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，对一些不适应工作要求的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流程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、内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控流程图进行修订，完善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了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各科室、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中心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风险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点细化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防控措施，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根据工作实际，认真梳理每个人的岗位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风险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并完善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防控措施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，通过处网站进行公开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杜绝了工作中可能出现的风险，防患于未然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，起到了防微杜渐的作用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Calibri" w:hAnsi="Calibri" w:eastAsia="仿宋" w:cs="Calibri"/>
          <w:color w:val="66666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Calibri" w:hAnsi="Calibri" w:eastAsia="仿宋" w:cs="Calibri"/>
          <w:color w:val="666666"/>
          <w:kern w:val="0"/>
          <w:sz w:val="32"/>
          <w:szCs w:val="32"/>
          <w:lang w:eastAsia="zh-CN"/>
        </w:rPr>
        <w:t>二、严格资产处置程序，及时公开拍卖信息。在国有资产的处置中，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使用部门和归口管理部门层层把关，严格按规章制度执行，通过公开拍卖的形式处理报废的资产，拍卖公告通过媒体和学校网站予以对外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公布，残值收入一律及时上缴学校财务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，避免了国有资产的流失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三、招标采购公开公平公正。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对大宗物资、大型教学科研仪器设备、办公设备、图书、药品等采购规定和重大基建工程的招投标信息、中标结果通过中国政府采购网和山东政府采购网予以公布，学校采购网及时转发，符合采购程序，对过程中存在质疑的及时给予详尽的解释和答复，保证程序合法合规。所有设备、设施等资产的配置、分配、使用,采用单位提出申请、组织论证和归口管理部门进行审核的程序，按实际情况予以配置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，严格按照预算的计划执行，对未列入预算的严格补办手续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2" w:lineRule="atLeast"/>
        <w:rPr>
          <w:rFonts w:hint="eastAsia" w:ascii="����" w:hAnsi="����" w:eastAsia="仿宋" w:cs="宋体"/>
          <w:color w:val="666666"/>
          <w:kern w:val="0"/>
          <w:szCs w:val="21"/>
          <w:lang w:eastAsia="zh-CN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四、严格对房屋使用情况</w:t>
      </w:r>
      <w:bookmarkStart w:id="0" w:name="_GoBack"/>
      <w:bookmarkEnd w:id="0"/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进行年度检查并公示。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对行政办公用房、教学用房、实验用房、科研用房，按不同使用类型情况分别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会同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校长办公室、教务处、实验管理中心、后勤管理处归口管理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部门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进行年度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普核查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及督察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，对实验、科研用房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和超额用房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实行有偿使用，所有房屋核算数据及收费统计均在学校网站进行了公示；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对实验室搬迁的学院，搬迁实行公开招标。</w:t>
      </w:r>
    </w:p>
    <w:p>
      <w:pPr>
        <w:widowControl/>
        <w:adjustRightInd w:val="0"/>
        <w:snapToGrid w:val="0"/>
        <w:spacing w:line="562" w:lineRule="atLeast"/>
        <w:ind w:firstLine="662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五、无形资产。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在无形资产管理与使用上，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能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入账的及时入账，未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能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入账的科技成果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由科技处等归口部门具体负责管理和使用。</w:t>
      </w:r>
    </w:p>
    <w:p>
      <w:pPr>
        <w:widowControl/>
        <w:adjustRightInd w:val="0"/>
        <w:snapToGrid w:val="0"/>
        <w:spacing w:line="562" w:lineRule="atLeast"/>
        <w:ind w:firstLine="640" w:firstLineChars="200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经营资产管理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对校办企业制定了年度责任目标，并对上年度企业经营情况给予考核和考评，实现了资产的保值和运营增值。目前所有出租经营场所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均实行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公开招租，招租信息通过校园网公开发布，招租结果校内公开栏张贴公布；校办企业每年由学校评价工作小组进行保值增值评价，结果在各校办企业和学校经营性资产管理委员会范围内公开。</w:t>
      </w:r>
    </w:p>
    <w:p>
      <w:pPr>
        <w:widowControl/>
        <w:adjustRightInd w:val="0"/>
        <w:snapToGrid w:val="0"/>
        <w:spacing w:line="562" w:lineRule="atLeast"/>
        <w:ind w:firstLine="640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七、考勤公开。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严格按照学校考勤管理的有关规定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职工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考勤，并按要求在处办公群进行公示。</w:t>
      </w:r>
    </w:p>
    <w:p>
      <w:pPr>
        <w:widowControl/>
        <w:adjustRightInd w:val="0"/>
        <w:snapToGrid w:val="0"/>
        <w:spacing w:line="562" w:lineRule="atLeast"/>
        <w:ind w:firstLine="640"/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八、党务公开。对党内评优、评比及时公开。</w:t>
      </w:r>
    </w:p>
    <w:p>
      <w:pPr>
        <w:widowControl/>
        <w:adjustRightInd w:val="0"/>
        <w:snapToGrid w:val="0"/>
        <w:spacing w:line="562" w:lineRule="atLeast"/>
        <w:rPr>
          <w:rFonts w:hint="default" w:ascii="仿宋" w:hAnsi="仿宋" w:eastAsia="仿宋" w:cs="宋体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color w:val="66666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资产管理处、招标采购中心将继续严格执行上级信息公开的规定，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自觉接受上级的领导和工作指导，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坚持信息公开，扎扎实实落实好信息公开工作，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及时公开应公开信息，自觉接受上级的监督和群众监督，对照先进查找不足，努力把信息公开工作做细做好，助力资产管理处工作更上层楼。</w:t>
      </w:r>
    </w:p>
    <w:p>
      <w:pPr>
        <w:widowControl/>
        <w:adjustRightInd w:val="0"/>
        <w:snapToGrid w:val="0"/>
        <w:spacing w:line="562" w:lineRule="atLeast"/>
        <w:rPr>
          <w:rFonts w:hint="default" w:ascii="仿宋" w:hAnsi="仿宋" w:eastAsia="仿宋" w:cs="宋体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 xml:space="preserve">    以上汇报和所做不足之处，请指正。</w:t>
      </w:r>
    </w:p>
    <w:p>
      <w:pPr>
        <w:widowControl/>
        <w:adjustRightInd w:val="0"/>
        <w:snapToGrid w:val="0"/>
        <w:spacing w:line="562" w:lineRule="atLeast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信息公开网站：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http://sysbc.sdut.edu.cn/资产管理处网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http://210.44.176.76/zhaob/山东理工大学采购网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</w:p>
    <w:p>
      <w:pPr>
        <w:widowControl/>
        <w:adjustRightInd w:val="0"/>
        <w:snapToGrid w:val="0"/>
        <w:spacing w:line="562" w:lineRule="atLeast"/>
        <w:ind w:left="4003" w:hanging="4003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 xml:space="preserve">              </w:t>
      </w:r>
      <w:r>
        <w:rPr>
          <w:rFonts w:hint="eastAsia" w:ascii="Calibri" w:hAnsi="Calibri" w:eastAsia="仿宋" w:cs="Calibri"/>
          <w:color w:val="666666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ascii="Calibri" w:hAnsi="Calibri" w:eastAsia="仿宋" w:cs="Calibri"/>
          <w:color w:val="66666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资产管理处 </w:t>
      </w:r>
    </w:p>
    <w:p>
      <w:pPr>
        <w:widowControl/>
        <w:adjustRightInd w:val="0"/>
        <w:snapToGrid w:val="0"/>
        <w:spacing w:line="562" w:lineRule="atLeast"/>
        <w:ind w:left="4003" w:hanging="4003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 xml:space="preserve">              </w:t>
      </w:r>
      <w:r>
        <w:rPr>
          <w:rFonts w:hint="eastAsia" w:ascii="Calibri" w:hAnsi="Calibri" w:eastAsia="仿宋" w:cs="Calibri"/>
          <w:color w:val="666666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招标采购中心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年10月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5"/>
    <w:rsid w:val="006D3D55"/>
    <w:rsid w:val="009E498D"/>
    <w:rsid w:val="00BA3715"/>
    <w:rsid w:val="0C805A3B"/>
    <w:rsid w:val="265B2806"/>
    <w:rsid w:val="2B123CE2"/>
    <w:rsid w:val="36021C4E"/>
    <w:rsid w:val="383C1568"/>
    <w:rsid w:val="43A63845"/>
    <w:rsid w:val="556508B5"/>
    <w:rsid w:val="5CCB0FC0"/>
    <w:rsid w:val="657218B3"/>
    <w:rsid w:val="67745DC6"/>
    <w:rsid w:val="6D59018D"/>
    <w:rsid w:val="745600C2"/>
    <w:rsid w:val="767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218</Words>
  <Characters>1246</Characters>
  <Lines>10</Lines>
  <Paragraphs>2</Paragraphs>
  <TotalTime>9</TotalTime>
  <ScaleCrop>false</ScaleCrop>
  <LinksUpToDate>false</LinksUpToDate>
  <CharactersWithSpaces>1462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2020-10-19T01:05:00Z</dcterms:created>
  <dc:creator>Administrator</dc:creator>
  <cp:lastModifiedBy>花明草媚</cp:lastModifiedBy>
  <dcterms:modified xsi:type="dcterms:W3CDTF">2021-10-25T09:08:51Z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CFC515FE7BFC4B878B22CAECF10DD1D5</vt:lpwstr>
  </property>
</Properties>
</file>