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新宋体" w:hAnsi="新宋体" w:eastAsia="新宋体"/>
          <w:b/>
          <w:sz w:val="44"/>
          <w:szCs w:val="44"/>
        </w:rPr>
      </w:pPr>
      <w:r>
        <w:rPr>
          <w:rFonts w:hint="eastAsia" w:ascii="黑体" w:eastAsia="黑体"/>
          <w:sz w:val="32"/>
          <w:szCs w:val="32"/>
        </w:rPr>
        <w:t>附件3</w:t>
      </w:r>
    </w:p>
    <w:p>
      <w:pPr>
        <w:spacing w:line="360" w:lineRule="auto"/>
        <w:ind w:firstLine="71" w:firstLineChars="16"/>
        <w:jc w:val="center"/>
        <w:rPr>
          <w:rFonts w:hint="eastAsia" w:ascii="新宋体" w:hAnsi="新宋体" w:eastAsia="新宋体"/>
          <w:b/>
          <w:sz w:val="44"/>
          <w:szCs w:val="44"/>
          <w:lang w:eastAsia="zh-CN"/>
        </w:rPr>
      </w:pPr>
      <w:r>
        <w:rPr>
          <w:rFonts w:hint="eastAsia" w:ascii="新宋体" w:hAnsi="新宋体" w:eastAsia="新宋体"/>
          <w:b/>
          <w:sz w:val="44"/>
          <w:szCs w:val="44"/>
        </w:rPr>
        <w:t>岗位廉政风险识别防控表</w:t>
      </w:r>
      <w:r>
        <w:rPr>
          <w:rFonts w:hint="eastAsia" w:ascii="新宋体" w:hAnsi="新宋体" w:eastAsia="新宋体"/>
          <w:b/>
          <w:sz w:val="44"/>
          <w:szCs w:val="44"/>
          <w:lang w:eastAsia="zh-CN"/>
        </w:rPr>
        <w:t>（巩法孝）</w:t>
      </w:r>
    </w:p>
    <w:p>
      <w:pPr>
        <w:rPr>
          <w:rFonts w:ascii="楷体_GB2312" w:hAnsi="新宋体" w:eastAsia="楷体_GB2312"/>
          <w:sz w:val="32"/>
          <w:szCs w:val="32"/>
        </w:rPr>
      </w:pPr>
      <w:r>
        <w:rPr>
          <w:rFonts w:hint="eastAsia" w:ascii="仿宋_GB2312" w:eastAsia="仿宋_GB2312"/>
          <w:sz w:val="28"/>
          <w:szCs w:val="28"/>
        </w:rPr>
        <w:t>部门（单位）名称：资产管理处                                                       20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22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17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日</w:t>
      </w:r>
    </w:p>
    <w:tbl>
      <w:tblPr>
        <w:tblStyle w:val="2"/>
        <w:tblW w:w="143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7"/>
        <w:gridCol w:w="1106"/>
        <w:gridCol w:w="2604"/>
        <w:gridCol w:w="698"/>
        <w:gridCol w:w="1401"/>
        <w:gridCol w:w="2379"/>
        <w:gridCol w:w="113"/>
        <w:gridCol w:w="2587"/>
        <w:gridCol w:w="58"/>
        <w:gridCol w:w="25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92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姓  名</w:t>
            </w:r>
          </w:p>
        </w:tc>
        <w:tc>
          <w:tcPr>
            <w:tcW w:w="260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巩法孝</w:t>
            </w:r>
          </w:p>
        </w:tc>
        <w:tc>
          <w:tcPr>
            <w:tcW w:w="209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职  务</w:t>
            </w:r>
          </w:p>
        </w:tc>
        <w:tc>
          <w:tcPr>
            <w:tcW w:w="249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科长</w:t>
            </w:r>
          </w:p>
        </w:tc>
        <w:tc>
          <w:tcPr>
            <w:tcW w:w="2645" w:type="dxa"/>
            <w:gridSpan w:val="2"/>
            <w:vAlign w:val="center"/>
          </w:tcPr>
          <w:p>
            <w:pPr>
              <w:ind w:firstLine="800" w:firstLineChars="250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科室</w:t>
            </w:r>
          </w:p>
        </w:tc>
        <w:tc>
          <w:tcPr>
            <w:tcW w:w="254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资产服务大厅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17" w:type="dxa"/>
            <w:vMerge w:val="restart"/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一岗双责</w:t>
            </w:r>
          </w:p>
        </w:tc>
        <w:tc>
          <w:tcPr>
            <w:tcW w:w="11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岗位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职责</w:t>
            </w:r>
          </w:p>
        </w:tc>
        <w:tc>
          <w:tcPr>
            <w:tcW w:w="12389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负责协调安排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大厅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内各岗位分工，并督促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各岗位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按时完成本职工作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对各类报表的审核、资产入账审核、账务核对审核，数据安全等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学校土地、房屋管理及信息统计工作；教学科研单位资源占用费核算工作；根据学校规章，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协助做好固定资产信息、固定资产系统、系统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验收、维修、报废等工作流程和操作规程。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协助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一般办公设备、家具购置计划的审核、汇总等工作；协助组织全校大型大宗仪器设备验收工作，协助组织报废仪器设备的审核、核实、回收及处置工作。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廉政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职责</w:t>
            </w:r>
          </w:p>
        </w:tc>
        <w:tc>
          <w:tcPr>
            <w:tcW w:w="12389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积极参加政治学习、廉政教育学习，严格执行岗位职责内管理制度规定。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风险事项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风险点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自我防控措施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个人自我风险评估（级别）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部门风险评估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（级别）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账务核对审核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资产数据不准确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1.严格执行《山东理工大学国有资产管理办法》（鲁理工大政发〔2017〕170号）文件的规定.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2.发现问题，分析问题，协同财务、业务部门及软件公司解决，最后和财务数据一致。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3.按规定进行细致审核。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二级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报表编制审核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报表准确性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1.严格执行《山东省教育厅山东省高等学校国有资产管理办法》（鲁教财字〔2011〕65号）和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《山东理工大学国有资产管理办法》（鲁理工大政发〔2017〕170号）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规定。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2.加强审核，层层把关，按照填报要求认真核对，经领导审批后上报。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二级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数据安全检查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系统不可预知问题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每周备份，经常到网络中心对服务器进行检查。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二级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固定资产审核入账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审核资产各项的完整性、分类的准确性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1.严格执行《山东理工大学国有资产管理办法》（鲁理工大政发〔2017〕170号）文件的规定。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2.及时发现问题，协调业务、财务解决。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3.严把审核关，细致多好审查工作。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二级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资源占用费核算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数据未认定，随意调整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严格执行《山东理工大学教学科研单位用房管理办法》，数据由教务处、资产管理处、实验管理中心共同认定，认真核算。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二级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占用费核算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经费核算数据错误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严格执行《山东理工大学教学科研单位用房管理办法》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认真核算，多人核对，分管副处长审定。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二级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工作流程和操作规程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验收、报废、维修、仓储物资管理等工作流程的及时调整和修改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根据《山东理工大学国有资产管理办法》（鲁理工大政发〔2017〕170号）、学校的发展情况和工作实际，及时调整和完善工作流程，经处办公会研究通过后，监督执行。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三级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资产安全管理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资产验收、资产处置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严格规范资产验收流程，按采购合同要求对贵重设备进行验收。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严格执行国有资产处置流程，未经校长办公会或党委会研究同意，严禁处置。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二级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资产验收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验收程序是否规范、验收材料是否齐全、专家选择是否合理。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严格规范资产验收流程、严把审核验收材料清单、认真审核验收组专家名单、形成现场验收操作规范。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二级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资产处置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处置流程是否规范、处置材料是否齐全、处置手续是否合规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严格把关上报材料审核、现场仔细核对账物信息、认真履行处置程序的相关规章制度。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二级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二级</w:t>
            </w:r>
          </w:p>
        </w:tc>
      </w:tr>
    </w:tbl>
    <w:p/>
    <w:p/>
    <w:p/>
    <w:p/>
    <w:sectPr>
      <w:pgSz w:w="16838" w:h="11906" w:orient="landscape"/>
      <w:pgMar w:top="851" w:right="1134" w:bottom="85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lZjkwNmQxN2U4MjRjN2Y0ZWZmMTA2NGUwMTliZWUifQ=="/>
  </w:docVars>
  <w:rsids>
    <w:rsidRoot w:val="002F5489"/>
    <w:rsid w:val="001504F9"/>
    <w:rsid w:val="002F0EE0"/>
    <w:rsid w:val="002F5489"/>
    <w:rsid w:val="003072C7"/>
    <w:rsid w:val="005C2464"/>
    <w:rsid w:val="005C5B60"/>
    <w:rsid w:val="00703496"/>
    <w:rsid w:val="00A93946"/>
    <w:rsid w:val="00AD494D"/>
    <w:rsid w:val="00C86A1C"/>
    <w:rsid w:val="00CA67DD"/>
    <w:rsid w:val="00F852D4"/>
    <w:rsid w:val="0E945B67"/>
    <w:rsid w:val="19ED0B8F"/>
    <w:rsid w:val="1DC32B3D"/>
    <w:rsid w:val="235F04DB"/>
    <w:rsid w:val="27E42E71"/>
    <w:rsid w:val="2B1226FE"/>
    <w:rsid w:val="34DB7F09"/>
    <w:rsid w:val="5B9A0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AAF0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1190</Words>
  <Characters>1226</Characters>
  <Lines>3</Lines>
  <Paragraphs>1</Paragraphs>
  <TotalTime>0</TotalTime>
  <ScaleCrop>false</ScaleCrop>
  <LinksUpToDate>false</LinksUpToDate>
  <CharactersWithSpaces>1285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2019-03-27T00:49:00Z</dcterms:created>
  <dc:creator>宋振锐</dc:creator>
  <cp:lastModifiedBy>花明草媚</cp:lastModifiedBy>
  <dcterms:modified xsi:type="dcterms:W3CDTF">2022-09-22T08:38:24Z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F8432413D281403B82D1AABF625ED079</vt:lpwstr>
  </property>
</Properties>
</file>