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sz w:val="32"/>
          <w:szCs w:val="32"/>
        </w:rPr>
      </w:pPr>
    </w:p>
    <w:p>
      <w:pPr>
        <w:spacing w:line="360" w:lineRule="auto"/>
        <w:ind w:firstLine="57" w:firstLineChars="16"/>
        <w:jc w:val="center"/>
        <w:rPr>
          <w:rFonts w:hint="eastAsia" w:ascii="黑体" w:hAnsi="黑体" w:eastAsia="黑体" w:cs="黑体"/>
          <w:b w:val="0"/>
          <w:bCs/>
          <w:sz w:val="36"/>
          <w:szCs w:val="36"/>
        </w:rPr>
      </w:pPr>
      <w:r>
        <w:rPr>
          <w:rFonts w:hint="eastAsia" w:ascii="黑体" w:hAnsi="黑体" w:eastAsia="黑体" w:cs="黑体"/>
          <w:b w:val="0"/>
          <w:bCs/>
          <w:sz w:val="36"/>
          <w:szCs w:val="36"/>
        </w:rPr>
        <w:t>部门（单位）廉政风险识别防控表</w:t>
      </w:r>
    </w:p>
    <w:p>
      <w:pPr>
        <w:rPr>
          <w:rFonts w:hint="eastAsia" w:ascii="仿宋_GB2312" w:eastAsia="仿宋_GB2312"/>
          <w:sz w:val="28"/>
          <w:szCs w:val="28"/>
        </w:rPr>
      </w:pPr>
      <w:r>
        <w:rPr>
          <w:rFonts w:hint="eastAsia" w:ascii="仿宋_GB2312" w:eastAsia="仿宋_GB2312"/>
          <w:sz w:val="28"/>
          <w:szCs w:val="28"/>
        </w:rPr>
        <w:t>部门（单位）名称：招标采购中心                                               202</w:t>
      </w:r>
      <w:r>
        <w:rPr>
          <w:rFonts w:hint="eastAsia" w:ascii="仿宋_GB2312" w:eastAsia="仿宋_GB2312"/>
          <w:sz w:val="28"/>
          <w:szCs w:val="28"/>
          <w:lang w:val="en-US" w:eastAsia="zh-CN"/>
        </w:rPr>
        <w:t>2</w:t>
      </w:r>
      <w:r>
        <w:rPr>
          <w:rFonts w:hint="eastAsia" w:ascii="仿宋_GB2312" w:eastAsia="仿宋_GB2312"/>
          <w:sz w:val="28"/>
          <w:szCs w:val="28"/>
        </w:rPr>
        <w:t xml:space="preserve"> 年</w:t>
      </w:r>
      <w:r>
        <w:rPr>
          <w:rFonts w:hint="eastAsia" w:ascii="仿宋_GB2312" w:eastAsia="仿宋_GB2312"/>
          <w:sz w:val="28"/>
          <w:szCs w:val="28"/>
          <w:lang w:val="en-US" w:eastAsia="zh-CN"/>
        </w:rPr>
        <w:t>9</w:t>
      </w:r>
      <w:r>
        <w:rPr>
          <w:rFonts w:hint="eastAsia" w:ascii="仿宋_GB2312" w:eastAsia="仿宋_GB2312"/>
          <w:sz w:val="28"/>
          <w:szCs w:val="28"/>
        </w:rPr>
        <w:t xml:space="preserve"> 月1</w:t>
      </w:r>
      <w:r>
        <w:rPr>
          <w:rFonts w:hint="eastAsia" w:ascii="仿宋_GB2312" w:eastAsia="仿宋_GB2312"/>
          <w:sz w:val="28"/>
          <w:szCs w:val="28"/>
          <w:lang w:val="en-US" w:eastAsia="zh-CN"/>
        </w:rPr>
        <w:t>5</w:t>
      </w:r>
      <w:bookmarkStart w:id="0" w:name="_GoBack"/>
      <w:bookmarkEnd w:id="0"/>
      <w:r>
        <w:rPr>
          <w:rFonts w:hint="eastAsia" w:ascii="仿宋_GB2312" w:eastAsia="仿宋_GB2312"/>
          <w:sz w:val="28"/>
          <w:szCs w:val="28"/>
        </w:rPr>
        <w:t>日</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81"/>
        <w:gridCol w:w="2382"/>
        <w:gridCol w:w="629"/>
        <w:gridCol w:w="1151"/>
        <w:gridCol w:w="2520"/>
        <w:gridCol w:w="727"/>
        <w:gridCol w:w="1613"/>
        <w:gridCol w:w="662"/>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trPr>
        <w:tc>
          <w:tcPr>
            <w:tcW w:w="2381" w:type="dxa"/>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科室名称</w:t>
            </w:r>
          </w:p>
        </w:tc>
        <w:tc>
          <w:tcPr>
            <w:tcW w:w="2382" w:type="dxa"/>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招标采购中心</w:t>
            </w:r>
          </w:p>
        </w:tc>
        <w:tc>
          <w:tcPr>
            <w:tcW w:w="1780" w:type="dxa"/>
            <w:gridSpan w:val="2"/>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责任人姓名</w:t>
            </w:r>
          </w:p>
        </w:tc>
        <w:tc>
          <w:tcPr>
            <w:tcW w:w="2520" w:type="dxa"/>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王希鹏</w:t>
            </w:r>
          </w:p>
        </w:tc>
        <w:tc>
          <w:tcPr>
            <w:tcW w:w="2340" w:type="dxa"/>
            <w:gridSpan w:val="2"/>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责任人职务</w:t>
            </w:r>
          </w:p>
        </w:tc>
        <w:tc>
          <w:tcPr>
            <w:tcW w:w="2889" w:type="dxa"/>
            <w:gridSpan w:val="2"/>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1" w:hRule="atLeast"/>
        </w:trPr>
        <w:tc>
          <w:tcPr>
            <w:tcW w:w="2381"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业务工作职责</w:t>
            </w:r>
          </w:p>
        </w:tc>
        <w:tc>
          <w:tcPr>
            <w:tcW w:w="11911" w:type="dxa"/>
            <w:gridSpan w:val="8"/>
            <w:vAlign w:val="center"/>
          </w:tcPr>
          <w:p>
            <w:pPr>
              <w:snapToGrid w:val="0"/>
              <w:rPr>
                <w:rFonts w:hint="eastAsia" w:ascii="仿宋" w:hAnsi="仿宋" w:eastAsia="仿宋" w:cs="仿宋"/>
                <w:sz w:val="24"/>
                <w:szCs w:val="24"/>
              </w:rPr>
            </w:pPr>
            <w:r>
              <w:rPr>
                <w:rFonts w:hint="eastAsia" w:ascii="仿宋" w:hAnsi="仿宋" w:eastAsia="仿宋" w:cs="仿宋"/>
                <w:sz w:val="24"/>
                <w:szCs w:val="24"/>
              </w:rPr>
              <w:t>政府采购预算编报，采购计划的实施，招标采购委托，采购方式确定，采购过程监督，采购合同审核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6" w:hRule="atLeast"/>
        </w:trPr>
        <w:tc>
          <w:tcPr>
            <w:tcW w:w="2381"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党风廉政职责</w:t>
            </w:r>
          </w:p>
        </w:tc>
        <w:tc>
          <w:tcPr>
            <w:tcW w:w="11911" w:type="dxa"/>
            <w:gridSpan w:val="8"/>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中心廉政风险点及防控措施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atLeast"/>
        </w:trPr>
        <w:tc>
          <w:tcPr>
            <w:tcW w:w="2381"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风险事项</w:t>
            </w:r>
          </w:p>
        </w:tc>
        <w:tc>
          <w:tcPr>
            <w:tcW w:w="3011"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风险点</w:t>
            </w:r>
          </w:p>
        </w:tc>
        <w:tc>
          <w:tcPr>
            <w:tcW w:w="4398" w:type="dxa"/>
            <w:gridSpan w:val="3"/>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防控措施</w:t>
            </w:r>
          </w:p>
        </w:tc>
        <w:tc>
          <w:tcPr>
            <w:tcW w:w="2275" w:type="dxa"/>
            <w:gridSpan w:val="2"/>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科室自我风险评估（级别）</w:t>
            </w:r>
          </w:p>
        </w:tc>
        <w:tc>
          <w:tcPr>
            <w:tcW w:w="2227" w:type="dxa"/>
            <w:vAlign w:val="center"/>
          </w:tcPr>
          <w:p>
            <w:pPr>
              <w:snapToGrid w:val="0"/>
              <w:jc w:val="center"/>
              <w:rPr>
                <w:rFonts w:hint="eastAsia" w:ascii="仿宋" w:hAnsi="仿宋" w:eastAsia="仿宋" w:cs="仿宋"/>
                <w:sz w:val="24"/>
                <w:szCs w:val="24"/>
              </w:rPr>
            </w:pPr>
            <w:r>
              <w:rPr>
                <w:rFonts w:hint="eastAsia" w:ascii="仿宋" w:hAnsi="仿宋" w:eastAsia="仿宋" w:cs="仿宋"/>
                <w:sz w:val="24"/>
                <w:szCs w:val="24"/>
              </w:rPr>
              <w:t>部门风险评估（级别）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rPr>
        <w:tc>
          <w:tcPr>
            <w:tcW w:w="2381"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政府采购预算编报</w:t>
            </w:r>
          </w:p>
        </w:tc>
        <w:tc>
          <w:tcPr>
            <w:tcW w:w="3011" w:type="dxa"/>
            <w:gridSpan w:val="2"/>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政府采购预算不报、不全</w:t>
            </w:r>
          </w:p>
        </w:tc>
        <w:tc>
          <w:tcPr>
            <w:tcW w:w="4398" w:type="dxa"/>
            <w:gridSpan w:val="3"/>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严格执行法律法规及内控管理要求，切实做到采购预算编全编细，采用招标采购管理系统</w:t>
            </w:r>
          </w:p>
        </w:tc>
        <w:tc>
          <w:tcPr>
            <w:tcW w:w="2275" w:type="dxa"/>
            <w:gridSpan w:val="2"/>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一级</w:t>
            </w:r>
          </w:p>
        </w:tc>
        <w:tc>
          <w:tcPr>
            <w:tcW w:w="2227"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一级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4" w:hRule="atLeast"/>
        </w:trPr>
        <w:tc>
          <w:tcPr>
            <w:tcW w:w="2381"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采购计划的实施</w:t>
            </w:r>
          </w:p>
        </w:tc>
        <w:tc>
          <w:tcPr>
            <w:tcW w:w="3011" w:type="dxa"/>
            <w:gridSpan w:val="2"/>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采购需求管理不规范</w:t>
            </w:r>
          </w:p>
        </w:tc>
        <w:tc>
          <w:tcPr>
            <w:tcW w:w="4398" w:type="dxa"/>
            <w:gridSpan w:val="3"/>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执行上级文件规定，制定采购需求管理办法，规范管理市场调查和采购需求编制</w:t>
            </w:r>
          </w:p>
        </w:tc>
        <w:tc>
          <w:tcPr>
            <w:tcW w:w="2275" w:type="dxa"/>
            <w:gridSpan w:val="2"/>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二级</w:t>
            </w:r>
          </w:p>
        </w:tc>
        <w:tc>
          <w:tcPr>
            <w:tcW w:w="2227"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trPr>
        <w:tc>
          <w:tcPr>
            <w:tcW w:w="2381"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采购方式</w:t>
            </w:r>
          </w:p>
        </w:tc>
        <w:tc>
          <w:tcPr>
            <w:tcW w:w="3011" w:type="dxa"/>
            <w:gridSpan w:val="2"/>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采购方式不正确影响项目采购效益</w:t>
            </w:r>
          </w:p>
        </w:tc>
        <w:tc>
          <w:tcPr>
            <w:tcW w:w="4398" w:type="dxa"/>
            <w:gridSpan w:val="3"/>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采购需求明确，加强与申请部门沟通力度，组织专家论证，依照项目特点科学确定采购方式，学习使用新的框架协议采购方式</w:t>
            </w:r>
          </w:p>
        </w:tc>
        <w:tc>
          <w:tcPr>
            <w:tcW w:w="2275" w:type="dxa"/>
            <w:gridSpan w:val="2"/>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二级</w:t>
            </w:r>
          </w:p>
        </w:tc>
        <w:tc>
          <w:tcPr>
            <w:tcW w:w="2227"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atLeast"/>
        </w:trPr>
        <w:tc>
          <w:tcPr>
            <w:tcW w:w="2381"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采购过程</w:t>
            </w:r>
          </w:p>
        </w:tc>
        <w:tc>
          <w:tcPr>
            <w:tcW w:w="3011" w:type="dxa"/>
            <w:gridSpan w:val="2"/>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评分小组成员打分不公、采购人代表履职不当、代理公司与供应商围标、串标</w:t>
            </w:r>
          </w:p>
        </w:tc>
        <w:tc>
          <w:tcPr>
            <w:tcW w:w="4398" w:type="dxa"/>
            <w:gridSpan w:val="3"/>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规范采购人代表的选择流程和职责要求，加强对专家抽取的现场监督，实行评审过程即时监督评分办法，有计划地采用线上评标，严格进行供应商的资格审查，重点查找打分中存在的畸高畸低现象，</w:t>
            </w:r>
          </w:p>
        </w:tc>
        <w:tc>
          <w:tcPr>
            <w:tcW w:w="2275" w:type="dxa"/>
            <w:gridSpan w:val="2"/>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二级</w:t>
            </w:r>
          </w:p>
        </w:tc>
        <w:tc>
          <w:tcPr>
            <w:tcW w:w="2227"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采购合同审核</w:t>
            </w:r>
          </w:p>
        </w:tc>
        <w:tc>
          <w:tcPr>
            <w:tcW w:w="3011" w:type="dxa"/>
            <w:gridSpan w:val="2"/>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合同条款违规违法、侵害当事人利益</w:t>
            </w:r>
          </w:p>
        </w:tc>
        <w:tc>
          <w:tcPr>
            <w:tcW w:w="4398" w:type="dxa"/>
            <w:gridSpan w:val="3"/>
            <w:vAlign w:val="center"/>
          </w:tcPr>
          <w:p>
            <w:pPr>
              <w:pStyle w:val="12"/>
              <w:snapToGrid w:val="0"/>
              <w:rPr>
                <w:rFonts w:hint="eastAsia" w:ascii="仿宋" w:hAnsi="仿宋" w:eastAsia="仿宋" w:cs="仿宋"/>
                <w:sz w:val="24"/>
                <w:szCs w:val="24"/>
              </w:rPr>
            </w:pPr>
            <w:r>
              <w:rPr>
                <w:rFonts w:hint="eastAsia" w:ascii="仿宋" w:hAnsi="仿宋" w:eastAsia="仿宋" w:cs="仿宋"/>
                <w:sz w:val="24"/>
                <w:szCs w:val="24"/>
              </w:rPr>
              <w:t>设计编制货物、工程、服务类合同规范文本，强调中标商承诺条款，严格审核合同关键点，合同送审流程规范</w:t>
            </w:r>
          </w:p>
        </w:tc>
        <w:tc>
          <w:tcPr>
            <w:tcW w:w="2275" w:type="dxa"/>
            <w:gridSpan w:val="2"/>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二级</w:t>
            </w:r>
          </w:p>
        </w:tc>
        <w:tc>
          <w:tcPr>
            <w:tcW w:w="2227" w:type="dxa"/>
            <w:vAlign w:val="center"/>
          </w:tcPr>
          <w:p>
            <w:pPr>
              <w:pStyle w:val="12"/>
              <w:snapToGrid w:val="0"/>
              <w:jc w:val="center"/>
              <w:rPr>
                <w:rFonts w:hint="eastAsia" w:ascii="仿宋" w:hAnsi="仿宋" w:eastAsia="仿宋" w:cs="仿宋"/>
                <w:sz w:val="24"/>
                <w:szCs w:val="24"/>
              </w:rPr>
            </w:pPr>
            <w:r>
              <w:rPr>
                <w:rFonts w:hint="eastAsia" w:ascii="仿宋" w:hAnsi="仿宋" w:eastAsia="仿宋" w:cs="仿宋"/>
                <w:sz w:val="24"/>
                <w:szCs w:val="24"/>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0" w:hRule="atLeast"/>
        </w:trPr>
        <w:tc>
          <w:tcPr>
            <w:tcW w:w="2381" w:type="dxa"/>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批量集采货物</w:t>
            </w:r>
          </w:p>
        </w:tc>
        <w:tc>
          <w:tcPr>
            <w:tcW w:w="3011" w:type="dxa"/>
            <w:gridSpan w:val="2"/>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供货不及时，影响使用；大额批量货物采购不规范</w:t>
            </w:r>
          </w:p>
        </w:tc>
        <w:tc>
          <w:tcPr>
            <w:tcW w:w="4398" w:type="dxa"/>
            <w:gridSpan w:val="3"/>
            <w:vAlign w:val="center"/>
          </w:tcPr>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主动对接申请部门，协调供货商按照要求供货；运用市场价格调查，货比三家的比价方式采购；严格执行政府采购网上流程，即时签订采购合同</w:t>
            </w:r>
          </w:p>
        </w:tc>
        <w:tc>
          <w:tcPr>
            <w:tcW w:w="2275" w:type="dxa"/>
            <w:gridSpan w:val="2"/>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二级</w:t>
            </w:r>
          </w:p>
        </w:tc>
        <w:tc>
          <w:tcPr>
            <w:tcW w:w="2227" w:type="dxa"/>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二级</w:t>
            </w:r>
          </w:p>
        </w:tc>
      </w:tr>
    </w:tbl>
    <w:p>
      <w:pPr>
        <w:ind w:firstLine="420" w:firstLineChars="200"/>
      </w:pPr>
      <w:r>
        <w:rPr>
          <w:rFonts w:hint="eastAsia"/>
        </w:rPr>
        <w:t>注：1.业务工作职责指本科室在业务范围内所承担的工作任务及相应享有的职权；党风廉政职责指在加强党风廉政建设方面所承担的责任和义务。2.识别廉政风险，主要从制度、机制方面入手，查找管理的薄弱环节和制度的漏洞，确定和填报风险点。3.针对廉政风险，提出部门防控措施。4.风险评估，由部门所在单位按发生几率大小、可能造成的危害程度及部门自我风险评估等级，对查找出的部门廉政风险评定等级，具体分为一级、二级、三级风险等级。</w:t>
      </w:r>
    </w:p>
    <w:p>
      <w:pPr>
        <w:ind w:firstLine="420" w:firstLineChars="200"/>
      </w:pPr>
    </w:p>
    <w:p>
      <w:pPr>
        <w:ind w:firstLine="420" w:firstLineChars="200"/>
      </w:pPr>
    </w:p>
    <w:p>
      <w:pPr>
        <w:ind w:firstLine="420" w:firstLineChars="200"/>
      </w:pPr>
    </w:p>
    <w:p>
      <w:pPr>
        <w:ind w:firstLine="420" w:firstLineChars="200"/>
      </w:pPr>
    </w:p>
    <w:sectPr>
      <w:pgSz w:w="16838" w:h="11906" w:orient="landscape"/>
      <w:pgMar w:top="851" w:right="1134" w:bottom="85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kwNmQxN2U4MjRjN2Y0ZWZmMTA2NGUwMTliZWUifQ=="/>
  </w:docVars>
  <w:rsids>
    <w:rsidRoot w:val="00B54B78"/>
    <w:rsid w:val="000043FA"/>
    <w:rsid w:val="00006C25"/>
    <w:rsid w:val="00007638"/>
    <w:rsid w:val="0001051D"/>
    <w:rsid w:val="0002223B"/>
    <w:rsid w:val="000228AB"/>
    <w:rsid w:val="0003209A"/>
    <w:rsid w:val="00032266"/>
    <w:rsid w:val="0003259E"/>
    <w:rsid w:val="00032611"/>
    <w:rsid w:val="00034F2B"/>
    <w:rsid w:val="00053864"/>
    <w:rsid w:val="000553B2"/>
    <w:rsid w:val="000644AB"/>
    <w:rsid w:val="000710BE"/>
    <w:rsid w:val="00071A29"/>
    <w:rsid w:val="00074BB7"/>
    <w:rsid w:val="00076779"/>
    <w:rsid w:val="00091618"/>
    <w:rsid w:val="0009203D"/>
    <w:rsid w:val="000A3779"/>
    <w:rsid w:val="000C6337"/>
    <w:rsid w:val="000C6FB3"/>
    <w:rsid w:val="000D0683"/>
    <w:rsid w:val="000D46BA"/>
    <w:rsid w:val="000D6552"/>
    <w:rsid w:val="000E0E64"/>
    <w:rsid w:val="000E11B5"/>
    <w:rsid w:val="000E1C4D"/>
    <w:rsid w:val="000E380E"/>
    <w:rsid w:val="000E5E91"/>
    <w:rsid w:val="000E6240"/>
    <w:rsid w:val="000F3189"/>
    <w:rsid w:val="0010715C"/>
    <w:rsid w:val="00113F1D"/>
    <w:rsid w:val="00123809"/>
    <w:rsid w:val="001259DD"/>
    <w:rsid w:val="0012644F"/>
    <w:rsid w:val="0012724E"/>
    <w:rsid w:val="00130A7A"/>
    <w:rsid w:val="00135ECC"/>
    <w:rsid w:val="00136D74"/>
    <w:rsid w:val="00140A39"/>
    <w:rsid w:val="001442FE"/>
    <w:rsid w:val="00144BAD"/>
    <w:rsid w:val="00145EBE"/>
    <w:rsid w:val="00156548"/>
    <w:rsid w:val="0016153F"/>
    <w:rsid w:val="00167467"/>
    <w:rsid w:val="00170385"/>
    <w:rsid w:val="001705AA"/>
    <w:rsid w:val="001721AA"/>
    <w:rsid w:val="001722DB"/>
    <w:rsid w:val="001752BA"/>
    <w:rsid w:val="001843BD"/>
    <w:rsid w:val="00186457"/>
    <w:rsid w:val="001908B3"/>
    <w:rsid w:val="00192008"/>
    <w:rsid w:val="00192554"/>
    <w:rsid w:val="001937CC"/>
    <w:rsid w:val="001953B5"/>
    <w:rsid w:val="00195893"/>
    <w:rsid w:val="00195DC8"/>
    <w:rsid w:val="00195E90"/>
    <w:rsid w:val="00196A7B"/>
    <w:rsid w:val="001B2A34"/>
    <w:rsid w:val="001C4606"/>
    <w:rsid w:val="001C4D3D"/>
    <w:rsid w:val="001C6D29"/>
    <w:rsid w:val="001C72DE"/>
    <w:rsid w:val="001D2FEB"/>
    <w:rsid w:val="001D755A"/>
    <w:rsid w:val="001E7B59"/>
    <w:rsid w:val="001F0BB7"/>
    <w:rsid w:val="001F13A8"/>
    <w:rsid w:val="001F2A49"/>
    <w:rsid w:val="001F44A7"/>
    <w:rsid w:val="0020003F"/>
    <w:rsid w:val="00200F79"/>
    <w:rsid w:val="00201F6D"/>
    <w:rsid w:val="00213924"/>
    <w:rsid w:val="00214F4F"/>
    <w:rsid w:val="00217807"/>
    <w:rsid w:val="00240684"/>
    <w:rsid w:val="0024381C"/>
    <w:rsid w:val="0024590C"/>
    <w:rsid w:val="00252D4A"/>
    <w:rsid w:val="00252FD8"/>
    <w:rsid w:val="002533A1"/>
    <w:rsid w:val="00254E47"/>
    <w:rsid w:val="00257E38"/>
    <w:rsid w:val="00260AC0"/>
    <w:rsid w:val="00264C48"/>
    <w:rsid w:val="00265F2B"/>
    <w:rsid w:val="00273840"/>
    <w:rsid w:val="00273A61"/>
    <w:rsid w:val="0027491E"/>
    <w:rsid w:val="00276AF0"/>
    <w:rsid w:val="00277CBB"/>
    <w:rsid w:val="00281DE5"/>
    <w:rsid w:val="00292D7F"/>
    <w:rsid w:val="002A5390"/>
    <w:rsid w:val="002A6766"/>
    <w:rsid w:val="002B0FB6"/>
    <w:rsid w:val="002B598E"/>
    <w:rsid w:val="002B5F0A"/>
    <w:rsid w:val="002B619E"/>
    <w:rsid w:val="002D0119"/>
    <w:rsid w:val="002D24A8"/>
    <w:rsid w:val="002D322A"/>
    <w:rsid w:val="002D371F"/>
    <w:rsid w:val="002E576E"/>
    <w:rsid w:val="002E5F62"/>
    <w:rsid w:val="002E60C3"/>
    <w:rsid w:val="002F2204"/>
    <w:rsid w:val="00305B33"/>
    <w:rsid w:val="003106FE"/>
    <w:rsid w:val="00313DAF"/>
    <w:rsid w:val="003220AE"/>
    <w:rsid w:val="0033000E"/>
    <w:rsid w:val="00341545"/>
    <w:rsid w:val="00345DF5"/>
    <w:rsid w:val="00347A19"/>
    <w:rsid w:val="00351C97"/>
    <w:rsid w:val="0035349C"/>
    <w:rsid w:val="00353E8B"/>
    <w:rsid w:val="00355AAA"/>
    <w:rsid w:val="00356D0B"/>
    <w:rsid w:val="00356F7B"/>
    <w:rsid w:val="003615A0"/>
    <w:rsid w:val="00365485"/>
    <w:rsid w:val="00366307"/>
    <w:rsid w:val="003714D2"/>
    <w:rsid w:val="00380EED"/>
    <w:rsid w:val="00381700"/>
    <w:rsid w:val="00381753"/>
    <w:rsid w:val="00382282"/>
    <w:rsid w:val="00396681"/>
    <w:rsid w:val="003A30CB"/>
    <w:rsid w:val="003A4914"/>
    <w:rsid w:val="003A6419"/>
    <w:rsid w:val="003B0F41"/>
    <w:rsid w:val="003B2413"/>
    <w:rsid w:val="003B70CD"/>
    <w:rsid w:val="003C0A2B"/>
    <w:rsid w:val="003D64E9"/>
    <w:rsid w:val="003D6837"/>
    <w:rsid w:val="003D6E06"/>
    <w:rsid w:val="003E2E47"/>
    <w:rsid w:val="003E7CB4"/>
    <w:rsid w:val="003F5A33"/>
    <w:rsid w:val="00400946"/>
    <w:rsid w:val="0040352C"/>
    <w:rsid w:val="004043ED"/>
    <w:rsid w:val="004049D1"/>
    <w:rsid w:val="00404B1C"/>
    <w:rsid w:val="004120AA"/>
    <w:rsid w:val="00412307"/>
    <w:rsid w:val="00413689"/>
    <w:rsid w:val="00416C9C"/>
    <w:rsid w:val="004208F7"/>
    <w:rsid w:val="00427B5F"/>
    <w:rsid w:val="00430DB6"/>
    <w:rsid w:val="00431A85"/>
    <w:rsid w:val="00434A8C"/>
    <w:rsid w:val="004359C8"/>
    <w:rsid w:val="0044236B"/>
    <w:rsid w:val="00443823"/>
    <w:rsid w:val="00444AEB"/>
    <w:rsid w:val="004471EB"/>
    <w:rsid w:val="00453CA4"/>
    <w:rsid w:val="004552CB"/>
    <w:rsid w:val="00457570"/>
    <w:rsid w:val="00460E37"/>
    <w:rsid w:val="0046292B"/>
    <w:rsid w:val="00466AD5"/>
    <w:rsid w:val="004726EB"/>
    <w:rsid w:val="00473040"/>
    <w:rsid w:val="004753C1"/>
    <w:rsid w:val="004843D2"/>
    <w:rsid w:val="0049376A"/>
    <w:rsid w:val="004A52A4"/>
    <w:rsid w:val="004B40FE"/>
    <w:rsid w:val="004B4338"/>
    <w:rsid w:val="004B47F9"/>
    <w:rsid w:val="004C3718"/>
    <w:rsid w:val="004C6821"/>
    <w:rsid w:val="004D09E9"/>
    <w:rsid w:val="004D34AE"/>
    <w:rsid w:val="004D672F"/>
    <w:rsid w:val="004D7A7A"/>
    <w:rsid w:val="004E7C90"/>
    <w:rsid w:val="004F185E"/>
    <w:rsid w:val="004F3942"/>
    <w:rsid w:val="004F4421"/>
    <w:rsid w:val="0050192E"/>
    <w:rsid w:val="005035F3"/>
    <w:rsid w:val="005037EB"/>
    <w:rsid w:val="00503F1D"/>
    <w:rsid w:val="005114BB"/>
    <w:rsid w:val="00520D6D"/>
    <w:rsid w:val="00525B3D"/>
    <w:rsid w:val="00525FD5"/>
    <w:rsid w:val="005274F1"/>
    <w:rsid w:val="00530431"/>
    <w:rsid w:val="00531BC4"/>
    <w:rsid w:val="00532870"/>
    <w:rsid w:val="0053525B"/>
    <w:rsid w:val="0054353E"/>
    <w:rsid w:val="00543C9E"/>
    <w:rsid w:val="00550C3E"/>
    <w:rsid w:val="005515DA"/>
    <w:rsid w:val="00551F43"/>
    <w:rsid w:val="00565127"/>
    <w:rsid w:val="00567308"/>
    <w:rsid w:val="0057249E"/>
    <w:rsid w:val="00573419"/>
    <w:rsid w:val="00574757"/>
    <w:rsid w:val="00576038"/>
    <w:rsid w:val="00582DCF"/>
    <w:rsid w:val="005911B1"/>
    <w:rsid w:val="00596E56"/>
    <w:rsid w:val="00597794"/>
    <w:rsid w:val="005A0DD7"/>
    <w:rsid w:val="005A1550"/>
    <w:rsid w:val="005C1C54"/>
    <w:rsid w:val="005C5508"/>
    <w:rsid w:val="005C7695"/>
    <w:rsid w:val="005D1440"/>
    <w:rsid w:val="005E158C"/>
    <w:rsid w:val="005E280B"/>
    <w:rsid w:val="005E7941"/>
    <w:rsid w:val="005F1E4D"/>
    <w:rsid w:val="005F22BD"/>
    <w:rsid w:val="005F243F"/>
    <w:rsid w:val="0060199F"/>
    <w:rsid w:val="00611FEC"/>
    <w:rsid w:val="006177A1"/>
    <w:rsid w:val="00624219"/>
    <w:rsid w:val="006303D0"/>
    <w:rsid w:val="00632270"/>
    <w:rsid w:val="0063549C"/>
    <w:rsid w:val="00637665"/>
    <w:rsid w:val="00663F29"/>
    <w:rsid w:val="00674235"/>
    <w:rsid w:val="00674BF2"/>
    <w:rsid w:val="006750CB"/>
    <w:rsid w:val="006750F0"/>
    <w:rsid w:val="00680BA0"/>
    <w:rsid w:val="00692BE4"/>
    <w:rsid w:val="00693E3B"/>
    <w:rsid w:val="00694F64"/>
    <w:rsid w:val="006A1A77"/>
    <w:rsid w:val="006B34DC"/>
    <w:rsid w:val="006C10D7"/>
    <w:rsid w:val="006C2680"/>
    <w:rsid w:val="006C4146"/>
    <w:rsid w:val="006C4F1A"/>
    <w:rsid w:val="006C5119"/>
    <w:rsid w:val="006C6735"/>
    <w:rsid w:val="006E7C1D"/>
    <w:rsid w:val="006F41CA"/>
    <w:rsid w:val="006F5379"/>
    <w:rsid w:val="007017DD"/>
    <w:rsid w:val="00704B46"/>
    <w:rsid w:val="0070652E"/>
    <w:rsid w:val="00706EE4"/>
    <w:rsid w:val="00720EF7"/>
    <w:rsid w:val="007224FD"/>
    <w:rsid w:val="0072412E"/>
    <w:rsid w:val="0073464D"/>
    <w:rsid w:val="007424C6"/>
    <w:rsid w:val="007433C5"/>
    <w:rsid w:val="00754EEC"/>
    <w:rsid w:val="00764214"/>
    <w:rsid w:val="0076462D"/>
    <w:rsid w:val="00766FD0"/>
    <w:rsid w:val="00771957"/>
    <w:rsid w:val="0077209E"/>
    <w:rsid w:val="00774366"/>
    <w:rsid w:val="00775A4E"/>
    <w:rsid w:val="00776395"/>
    <w:rsid w:val="007817E2"/>
    <w:rsid w:val="00786BB0"/>
    <w:rsid w:val="007929F7"/>
    <w:rsid w:val="00793AA3"/>
    <w:rsid w:val="007A0BD9"/>
    <w:rsid w:val="007A5B8B"/>
    <w:rsid w:val="007B62AB"/>
    <w:rsid w:val="007B6E8A"/>
    <w:rsid w:val="007C3F17"/>
    <w:rsid w:val="007C49B9"/>
    <w:rsid w:val="007D6453"/>
    <w:rsid w:val="007E4EF2"/>
    <w:rsid w:val="007E6302"/>
    <w:rsid w:val="007E6C0F"/>
    <w:rsid w:val="00801B31"/>
    <w:rsid w:val="008058D6"/>
    <w:rsid w:val="00817346"/>
    <w:rsid w:val="00820C61"/>
    <w:rsid w:val="008318A0"/>
    <w:rsid w:val="00837B7C"/>
    <w:rsid w:val="0084148A"/>
    <w:rsid w:val="008479DD"/>
    <w:rsid w:val="008514EC"/>
    <w:rsid w:val="008545D6"/>
    <w:rsid w:val="008600E1"/>
    <w:rsid w:val="0086385A"/>
    <w:rsid w:val="00864D7E"/>
    <w:rsid w:val="0087606F"/>
    <w:rsid w:val="00881BEE"/>
    <w:rsid w:val="00882078"/>
    <w:rsid w:val="00882F71"/>
    <w:rsid w:val="00891BD6"/>
    <w:rsid w:val="00893A2A"/>
    <w:rsid w:val="008952BE"/>
    <w:rsid w:val="008A1D7F"/>
    <w:rsid w:val="008A3A55"/>
    <w:rsid w:val="008A59AF"/>
    <w:rsid w:val="008C35CA"/>
    <w:rsid w:val="008C35FA"/>
    <w:rsid w:val="008C454B"/>
    <w:rsid w:val="008C7803"/>
    <w:rsid w:val="008E1A1E"/>
    <w:rsid w:val="008E1BBD"/>
    <w:rsid w:val="008F00CB"/>
    <w:rsid w:val="008F14BA"/>
    <w:rsid w:val="008F1A1A"/>
    <w:rsid w:val="008F1ED5"/>
    <w:rsid w:val="008F1FC1"/>
    <w:rsid w:val="008F517C"/>
    <w:rsid w:val="008F621E"/>
    <w:rsid w:val="00900830"/>
    <w:rsid w:val="00901407"/>
    <w:rsid w:val="00903B1A"/>
    <w:rsid w:val="0092168A"/>
    <w:rsid w:val="00922BA2"/>
    <w:rsid w:val="00924519"/>
    <w:rsid w:val="009262D7"/>
    <w:rsid w:val="00926486"/>
    <w:rsid w:val="00930C82"/>
    <w:rsid w:val="00933477"/>
    <w:rsid w:val="00934D86"/>
    <w:rsid w:val="00942203"/>
    <w:rsid w:val="0095064B"/>
    <w:rsid w:val="00954A6E"/>
    <w:rsid w:val="00963100"/>
    <w:rsid w:val="0097011C"/>
    <w:rsid w:val="009777C7"/>
    <w:rsid w:val="00977961"/>
    <w:rsid w:val="00982D88"/>
    <w:rsid w:val="00983C8F"/>
    <w:rsid w:val="00984663"/>
    <w:rsid w:val="00985F5E"/>
    <w:rsid w:val="0098609D"/>
    <w:rsid w:val="00996378"/>
    <w:rsid w:val="009969D3"/>
    <w:rsid w:val="009A10B2"/>
    <w:rsid w:val="009A4AB7"/>
    <w:rsid w:val="009B1ECB"/>
    <w:rsid w:val="009B58EE"/>
    <w:rsid w:val="009C3335"/>
    <w:rsid w:val="009C3D59"/>
    <w:rsid w:val="009D057F"/>
    <w:rsid w:val="009D33E1"/>
    <w:rsid w:val="009E1438"/>
    <w:rsid w:val="009F34FC"/>
    <w:rsid w:val="009F4652"/>
    <w:rsid w:val="009F6167"/>
    <w:rsid w:val="00A01F35"/>
    <w:rsid w:val="00A12BE6"/>
    <w:rsid w:val="00A131F0"/>
    <w:rsid w:val="00A13B42"/>
    <w:rsid w:val="00A158E2"/>
    <w:rsid w:val="00A16CAA"/>
    <w:rsid w:val="00A22372"/>
    <w:rsid w:val="00A30EF2"/>
    <w:rsid w:val="00A37E77"/>
    <w:rsid w:val="00A40626"/>
    <w:rsid w:val="00A451AB"/>
    <w:rsid w:val="00A513C5"/>
    <w:rsid w:val="00A52F6E"/>
    <w:rsid w:val="00A53E23"/>
    <w:rsid w:val="00A55318"/>
    <w:rsid w:val="00A55638"/>
    <w:rsid w:val="00A61F8D"/>
    <w:rsid w:val="00A63D9D"/>
    <w:rsid w:val="00A64C76"/>
    <w:rsid w:val="00A743FA"/>
    <w:rsid w:val="00A76DFD"/>
    <w:rsid w:val="00A81829"/>
    <w:rsid w:val="00A83235"/>
    <w:rsid w:val="00A9409C"/>
    <w:rsid w:val="00A94137"/>
    <w:rsid w:val="00A95630"/>
    <w:rsid w:val="00A96980"/>
    <w:rsid w:val="00AA2D12"/>
    <w:rsid w:val="00AA427A"/>
    <w:rsid w:val="00AB51FF"/>
    <w:rsid w:val="00AC0905"/>
    <w:rsid w:val="00AC298D"/>
    <w:rsid w:val="00AC4D51"/>
    <w:rsid w:val="00AC6F33"/>
    <w:rsid w:val="00AD00AD"/>
    <w:rsid w:val="00AD1B82"/>
    <w:rsid w:val="00AD3D68"/>
    <w:rsid w:val="00AE063B"/>
    <w:rsid w:val="00AE4DFA"/>
    <w:rsid w:val="00AF1F86"/>
    <w:rsid w:val="00B00262"/>
    <w:rsid w:val="00B02E00"/>
    <w:rsid w:val="00B04DD8"/>
    <w:rsid w:val="00B04F4F"/>
    <w:rsid w:val="00B06825"/>
    <w:rsid w:val="00B06BEF"/>
    <w:rsid w:val="00B10859"/>
    <w:rsid w:val="00B109A3"/>
    <w:rsid w:val="00B1260A"/>
    <w:rsid w:val="00B2040D"/>
    <w:rsid w:val="00B22701"/>
    <w:rsid w:val="00B24353"/>
    <w:rsid w:val="00B259E7"/>
    <w:rsid w:val="00B30E0C"/>
    <w:rsid w:val="00B35FB9"/>
    <w:rsid w:val="00B409B5"/>
    <w:rsid w:val="00B424C6"/>
    <w:rsid w:val="00B42CA8"/>
    <w:rsid w:val="00B458BD"/>
    <w:rsid w:val="00B54B78"/>
    <w:rsid w:val="00B6438C"/>
    <w:rsid w:val="00B673E8"/>
    <w:rsid w:val="00B709E8"/>
    <w:rsid w:val="00B70A46"/>
    <w:rsid w:val="00B71CFF"/>
    <w:rsid w:val="00B71F44"/>
    <w:rsid w:val="00B72036"/>
    <w:rsid w:val="00B72B94"/>
    <w:rsid w:val="00B7735F"/>
    <w:rsid w:val="00B81F09"/>
    <w:rsid w:val="00B8318E"/>
    <w:rsid w:val="00B84183"/>
    <w:rsid w:val="00B914BA"/>
    <w:rsid w:val="00B924B4"/>
    <w:rsid w:val="00B950A2"/>
    <w:rsid w:val="00B95A30"/>
    <w:rsid w:val="00BA05EE"/>
    <w:rsid w:val="00BB0CEB"/>
    <w:rsid w:val="00BB4531"/>
    <w:rsid w:val="00BB6D6F"/>
    <w:rsid w:val="00BB731D"/>
    <w:rsid w:val="00BB75FC"/>
    <w:rsid w:val="00BC5D97"/>
    <w:rsid w:val="00BE0E7E"/>
    <w:rsid w:val="00BF06E2"/>
    <w:rsid w:val="00BF1D80"/>
    <w:rsid w:val="00BF487E"/>
    <w:rsid w:val="00C123D8"/>
    <w:rsid w:val="00C13C8B"/>
    <w:rsid w:val="00C14FB7"/>
    <w:rsid w:val="00C20CD3"/>
    <w:rsid w:val="00C23C41"/>
    <w:rsid w:val="00C24D5E"/>
    <w:rsid w:val="00C24DDB"/>
    <w:rsid w:val="00C31119"/>
    <w:rsid w:val="00C33390"/>
    <w:rsid w:val="00C35ECF"/>
    <w:rsid w:val="00C40170"/>
    <w:rsid w:val="00C43CA5"/>
    <w:rsid w:val="00C44D1F"/>
    <w:rsid w:val="00C51468"/>
    <w:rsid w:val="00C63D02"/>
    <w:rsid w:val="00C63D48"/>
    <w:rsid w:val="00C63D98"/>
    <w:rsid w:val="00C65237"/>
    <w:rsid w:val="00C6636E"/>
    <w:rsid w:val="00C67984"/>
    <w:rsid w:val="00C72E53"/>
    <w:rsid w:val="00C74218"/>
    <w:rsid w:val="00C7705B"/>
    <w:rsid w:val="00C77FF3"/>
    <w:rsid w:val="00C80B8E"/>
    <w:rsid w:val="00C864CA"/>
    <w:rsid w:val="00C91282"/>
    <w:rsid w:val="00C92138"/>
    <w:rsid w:val="00C966DC"/>
    <w:rsid w:val="00CA7193"/>
    <w:rsid w:val="00CB5DDA"/>
    <w:rsid w:val="00CB5E3F"/>
    <w:rsid w:val="00CD223B"/>
    <w:rsid w:val="00CD6535"/>
    <w:rsid w:val="00CE0E8E"/>
    <w:rsid w:val="00CF0D78"/>
    <w:rsid w:val="00D02E57"/>
    <w:rsid w:val="00D27406"/>
    <w:rsid w:val="00D27996"/>
    <w:rsid w:val="00D30E77"/>
    <w:rsid w:val="00D31D75"/>
    <w:rsid w:val="00D36C7E"/>
    <w:rsid w:val="00D43864"/>
    <w:rsid w:val="00D44B5A"/>
    <w:rsid w:val="00D51E61"/>
    <w:rsid w:val="00D548B3"/>
    <w:rsid w:val="00D557E6"/>
    <w:rsid w:val="00D6389F"/>
    <w:rsid w:val="00D64915"/>
    <w:rsid w:val="00D7031F"/>
    <w:rsid w:val="00D76BD4"/>
    <w:rsid w:val="00D8233B"/>
    <w:rsid w:val="00D83722"/>
    <w:rsid w:val="00D86CE0"/>
    <w:rsid w:val="00D91B58"/>
    <w:rsid w:val="00D927BC"/>
    <w:rsid w:val="00D9612F"/>
    <w:rsid w:val="00D971DE"/>
    <w:rsid w:val="00DA67FB"/>
    <w:rsid w:val="00DA731A"/>
    <w:rsid w:val="00DB06D2"/>
    <w:rsid w:val="00DB5BB7"/>
    <w:rsid w:val="00DB7B1B"/>
    <w:rsid w:val="00DC39B5"/>
    <w:rsid w:val="00DD6C9E"/>
    <w:rsid w:val="00DE1B02"/>
    <w:rsid w:val="00DE46E0"/>
    <w:rsid w:val="00DE73DC"/>
    <w:rsid w:val="00DF0B13"/>
    <w:rsid w:val="00DF0CF5"/>
    <w:rsid w:val="00DF4B00"/>
    <w:rsid w:val="00DF4F00"/>
    <w:rsid w:val="00DF5BF6"/>
    <w:rsid w:val="00E0230F"/>
    <w:rsid w:val="00E023A0"/>
    <w:rsid w:val="00E024D8"/>
    <w:rsid w:val="00E1367D"/>
    <w:rsid w:val="00E15834"/>
    <w:rsid w:val="00E21DCD"/>
    <w:rsid w:val="00E24593"/>
    <w:rsid w:val="00E3484E"/>
    <w:rsid w:val="00E35E40"/>
    <w:rsid w:val="00E41C33"/>
    <w:rsid w:val="00E42DDB"/>
    <w:rsid w:val="00E46881"/>
    <w:rsid w:val="00E531C8"/>
    <w:rsid w:val="00E63536"/>
    <w:rsid w:val="00E63F68"/>
    <w:rsid w:val="00E6423C"/>
    <w:rsid w:val="00E64743"/>
    <w:rsid w:val="00E71013"/>
    <w:rsid w:val="00E71B0D"/>
    <w:rsid w:val="00E71E29"/>
    <w:rsid w:val="00E74505"/>
    <w:rsid w:val="00E85DCF"/>
    <w:rsid w:val="00E93551"/>
    <w:rsid w:val="00EA0282"/>
    <w:rsid w:val="00EA0E75"/>
    <w:rsid w:val="00EA21F7"/>
    <w:rsid w:val="00EA44DE"/>
    <w:rsid w:val="00EA5D4B"/>
    <w:rsid w:val="00EB00FD"/>
    <w:rsid w:val="00EB399B"/>
    <w:rsid w:val="00EB429F"/>
    <w:rsid w:val="00EC2082"/>
    <w:rsid w:val="00EC2631"/>
    <w:rsid w:val="00ED1084"/>
    <w:rsid w:val="00ED4A4D"/>
    <w:rsid w:val="00ED4B34"/>
    <w:rsid w:val="00ED788D"/>
    <w:rsid w:val="00EE1BE2"/>
    <w:rsid w:val="00EF33D6"/>
    <w:rsid w:val="00EF5162"/>
    <w:rsid w:val="00F02F5F"/>
    <w:rsid w:val="00F06F2A"/>
    <w:rsid w:val="00F12131"/>
    <w:rsid w:val="00F15CC1"/>
    <w:rsid w:val="00F17816"/>
    <w:rsid w:val="00F20132"/>
    <w:rsid w:val="00F206B5"/>
    <w:rsid w:val="00F20BAB"/>
    <w:rsid w:val="00F23C6C"/>
    <w:rsid w:val="00F27527"/>
    <w:rsid w:val="00F31076"/>
    <w:rsid w:val="00F35BCB"/>
    <w:rsid w:val="00F368C2"/>
    <w:rsid w:val="00F3792D"/>
    <w:rsid w:val="00F4210F"/>
    <w:rsid w:val="00F455E2"/>
    <w:rsid w:val="00F47E6D"/>
    <w:rsid w:val="00F51A67"/>
    <w:rsid w:val="00F5673D"/>
    <w:rsid w:val="00F57B32"/>
    <w:rsid w:val="00F668F4"/>
    <w:rsid w:val="00F66DEA"/>
    <w:rsid w:val="00F679F4"/>
    <w:rsid w:val="00F774F1"/>
    <w:rsid w:val="00F77B37"/>
    <w:rsid w:val="00F83321"/>
    <w:rsid w:val="00F845BC"/>
    <w:rsid w:val="00F921D3"/>
    <w:rsid w:val="00FB410A"/>
    <w:rsid w:val="00FD227A"/>
    <w:rsid w:val="00FD40BB"/>
    <w:rsid w:val="00FE6BAC"/>
    <w:rsid w:val="00FE6E94"/>
    <w:rsid w:val="00FF2DA5"/>
    <w:rsid w:val="04B44B42"/>
    <w:rsid w:val="05AE23DA"/>
    <w:rsid w:val="09C92FE0"/>
    <w:rsid w:val="0EF55CB6"/>
    <w:rsid w:val="0FB27FF1"/>
    <w:rsid w:val="0FB81DC7"/>
    <w:rsid w:val="11D10DA4"/>
    <w:rsid w:val="1247036D"/>
    <w:rsid w:val="141806B2"/>
    <w:rsid w:val="14543FFD"/>
    <w:rsid w:val="14B3212F"/>
    <w:rsid w:val="15A64FBB"/>
    <w:rsid w:val="15EC66B6"/>
    <w:rsid w:val="178D387B"/>
    <w:rsid w:val="17C5353C"/>
    <w:rsid w:val="19020FB5"/>
    <w:rsid w:val="1963518F"/>
    <w:rsid w:val="1B696D19"/>
    <w:rsid w:val="1C0F57B4"/>
    <w:rsid w:val="1D16641E"/>
    <w:rsid w:val="1DCB02B5"/>
    <w:rsid w:val="1E54364E"/>
    <w:rsid w:val="1F1642E4"/>
    <w:rsid w:val="20EC6882"/>
    <w:rsid w:val="20FC2560"/>
    <w:rsid w:val="239C481D"/>
    <w:rsid w:val="23C2231C"/>
    <w:rsid w:val="242D1426"/>
    <w:rsid w:val="265F403E"/>
    <w:rsid w:val="266B3914"/>
    <w:rsid w:val="29D34B5C"/>
    <w:rsid w:val="2B8A4AAD"/>
    <w:rsid w:val="2BB73F8E"/>
    <w:rsid w:val="2BEB53CA"/>
    <w:rsid w:val="2CFD7C81"/>
    <w:rsid w:val="2F6331FC"/>
    <w:rsid w:val="2F7C45C4"/>
    <w:rsid w:val="2F923B39"/>
    <w:rsid w:val="302667B3"/>
    <w:rsid w:val="345B0D39"/>
    <w:rsid w:val="3477740C"/>
    <w:rsid w:val="384E0ECF"/>
    <w:rsid w:val="388E2DF3"/>
    <w:rsid w:val="3A11260D"/>
    <w:rsid w:val="3ACC3DD0"/>
    <w:rsid w:val="3B397E9D"/>
    <w:rsid w:val="3C5167F5"/>
    <w:rsid w:val="3CB832D7"/>
    <w:rsid w:val="3F1B766E"/>
    <w:rsid w:val="40244651"/>
    <w:rsid w:val="4229255C"/>
    <w:rsid w:val="42753A1F"/>
    <w:rsid w:val="429F4980"/>
    <w:rsid w:val="4A0A01AA"/>
    <w:rsid w:val="4B277157"/>
    <w:rsid w:val="4DD4500E"/>
    <w:rsid w:val="4E2A3BF3"/>
    <w:rsid w:val="4E6578BF"/>
    <w:rsid w:val="4E677D40"/>
    <w:rsid w:val="50D04A24"/>
    <w:rsid w:val="530303A7"/>
    <w:rsid w:val="56020701"/>
    <w:rsid w:val="56127F9A"/>
    <w:rsid w:val="57B46B74"/>
    <w:rsid w:val="59004F69"/>
    <w:rsid w:val="5D63447E"/>
    <w:rsid w:val="5E1A3B3F"/>
    <w:rsid w:val="627D1413"/>
    <w:rsid w:val="632D1AEC"/>
    <w:rsid w:val="63BF766C"/>
    <w:rsid w:val="6480124B"/>
    <w:rsid w:val="65EE286B"/>
    <w:rsid w:val="67BE0329"/>
    <w:rsid w:val="68325170"/>
    <w:rsid w:val="6A2A62B4"/>
    <w:rsid w:val="6BFA2523"/>
    <w:rsid w:val="6C0558DC"/>
    <w:rsid w:val="6C33080B"/>
    <w:rsid w:val="6D586364"/>
    <w:rsid w:val="6DC44A48"/>
    <w:rsid w:val="71C20B0E"/>
    <w:rsid w:val="75D15847"/>
    <w:rsid w:val="762A7C3E"/>
    <w:rsid w:val="76D51C41"/>
    <w:rsid w:val="7B1A21AB"/>
    <w:rsid w:val="7B6E551C"/>
    <w:rsid w:val="7C99227A"/>
    <w:rsid w:val="7D9E0FDC"/>
    <w:rsid w:val="7F0F2CA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iPriority="0" w:name="Table Grid" w:locked="1"/>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cs="Courier New"/>
      <w:szCs w:val="21"/>
    </w:rPr>
  </w:style>
  <w:style w:type="paragraph" w:styleId="3">
    <w:name w:val="Balloon Text"/>
    <w:basedOn w:val="1"/>
    <w:link w:val="9"/>
    <w:semiHidden/>
    <w:uiPriority w:val="99"/>
    <w:rPr>
      <w:rFonts w:ascii="Calibri" w:hAnsi="Calibri"/>
      <w:sz w:val="18"/>
      <w:szCs w:val="18"/>
    </w:rPr>
  </w:style>
  <w:style w:type="paragraph" w:styleId="4">
    <w:name w:val="footer"/>
    <w:basedOn w:val="1"/>
    <w:link w:val="10"/>
    <w:qFormat/>
    <w:uiPriority w:val="99"/>
    <w:pPr>
      <w:tabs>
        <w:tab w:val="center" w:pos="4153"/>
        <w:tab w:val="right" w:pos="8306"/>
      </w:tabs>
      <w:snapToGrid w:val="0"/>
      <w:jc w:val="left"/>
    </w:pPr>
    <w:rPr>
      <w:rFonts w:ascii="Calibri" w:hAnsi="Calibri"/>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8">
    <w:name w:val="纯文本 Char"/>
    <w:basedOn w:val="7"/>
    <w:link w:val="2"/>
    <w:semiHidden/>
    <w:uiPriority w:val="99"/>
    <w:rPr>
      <w:rFonts w:ascii="宋体" w:hAnsi="Courier New" w:cs="Courier New"/>
      <w:szCs w:val="21"/>
    </w:rPr>
  </w:style>
  <w:style w:type="character" w:customStyle="1" w:styleId="9">
    <w:name w:val="批注框文本 Char"/>
    <w:basedOn w:val="7"/>
    <w:link w:val="3"/>
    <w:semiHidden/>
    <w:locked/>
    <w:uiPriority w:val="99"/>
    <w:rPr>
      <w:rFonts w:cs="Times New Roman"/>
      <w:sz w:val="18"/>
      <w:szCs w:val="18"/>
    </w:rPr>
  </w:style>
  <w:style w:type="character" w:customStyle="1" w:styleId="10">
    <w:name w:val="页脚 Char"/>
    <w:basedOn w:val="7"/>
    <w:link w:val="4"/>
    <w:qFormat/>
    <w:locked/>
    <w:uiPriority w:val="99"/>
    <w:rPr>
      <w:rFonts w:cs="Times New Roman"/>
      <w:sz w:val="18"/>
      <w:szCs w:val="18"/>
    </w:rPr>
  </w:style>
  <w:style w:type="character" w:customStyle="1" w:styleId="11">
    <w:name w:val="页眉 Char"/>
    <w:basedOn w:val="7"/>
    <w:link w:val="5"/>
    <w:qFormat/>
    <w:locked/>
    <w:uiPriority w:val="99"/>
    <w:rPr>
      <w:rFonts w:cs="Times New Roman"/>
      <w:sz w:val="18"/>
      <w:szCs w:val="18"/>
    </w:rPr>
  </w:style>
  <w:style w:type="paragraph" w:styleId="12">
    <w:name w:val="No Spacing"/>
    <w:qFormat/>
    <w:uiPriority w:val="1"/>
    <w:pPr>
      <w:widowControl w:val="0"/>
      <w:jc w:val="both"/>
    </w:pPr>
    <w:rPr>
      <w:rFonts w:ascii="Times New Roman" w:hAnsi="Times New Roman" w:eastAsia="宋体" w:cs="Times New Roman"/>
      <w:kern w:val="2"/>
      <w:sz w:val="21"/>
      <w:lang w:val="en-US" w:eastAsia="zh-CN" w:bidi="ar-SA"/>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AAF0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857</Words>
  <Characters>865</Characters>
  <Lines>6</Lines>
  <Paragraphs>1</Paragraphs>
  <TotalTime>41</TotalTime>
  <ScaleCrop>false</ScaleCrop>
  <LinksUpToDate>false</LinksUpToDate>
  <CharactersWithSpaces>914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2019-03-27T00:48:00Z</dcterms:created>
  <dc:creator>姜素琼</dc:creator>
  <cp:lastModifiedBy>花明草媚</cp:lastModifiedBy>
  <dcterms:modified xsi:type="dcterms:W3CDTF">2022-09-22T08:30:39Z</dcterms:modified>
  <dc:title>附件2</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6D62B97C1B154369933E9D9EBD8712FC</vt:lpwstr>
  </property>
</Properties>
</file>