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4"/>
        </w:rPr>
      </w:pPr>
    </w:p>
    <w:p>
      <w:pPr>
        <w:widowControl/>
        <w:adjustRightInd w:val="0"/>
        <w:spacing w:line="600" w:lineRule="exact"/>
        <w:jc w:val="center"/>
        <w:rPr>
          <w:rFonts w:ascii="宋体" w:hAnsi="宋体" w:cs="宋体"/>
          <w:kern w:val="0"/>
          <w:sz w:val="24"/>
        </w:rPr>
      </w:pPr>
      <w:r>
        <w:rPr>
          <w:rFonts w:hint="eastAsia" w:ascii="宋体" w:hAnsi="宋体" w:cs="Tahoma"/>
          <w:b/>
          <w:bCs/>
          <w:kern w:val="0"/>
          <w:sz w:val="44"/>
          <w:szCs w:val="44"/>
        </w:rPr>
        <w:t>山东理工大学</w:t>
      </w:r>
    </w:p>
    <w:p>
      <w:pPr>
        <w:widowControl/>
        <w:adjustRightInd w:val="0"/>
        <w:spacing w:line="600" w:lineRule="exact"/>
        <w:jc w:val="center"/>
        <w:rPr>
          <w:rFonts w:hint="eastAsia" w:ascii="宋体" w:hAnsi="宋体" w:cs="Tahoma"/>
          <w:b/>
          <w:bCs/>
          <w:kern w:val="0"/>
          <w:sz w:val="44"/>
          <w:szCs w:val="44"/>
        </w:rPr>
      </w:pPr>
      <w:r>
        <w:rPr>
          <w:rFonts w:hint="eastAsia" w:ascii="宋体" w:hAnsi="宋体" w:cs="Tahoma"/>
          <w:b/>
          <w:bCs/>
          <w:kern w:val="0"/>
          <w:sz w:val="44"/>
          <w:szCs w:val="44"/>
        </w:rPr>
        <w:t>固定资产集中报废处置管理细则</w:t>
      </w:r>
    </w:p>
    <w:p>
      <w:pPr>
        <w:widowControl/>
        <w:adjustRightInd w:val="0"/>
        <w:spacing w:line="600" w:lineRule="exact"/>
        <w:jc w:val="center"/>
        <w:rPr>
          <w:rFonts w:hint="default" w:ascii="宋体" w:hAnsi="宋体" w:eastAsia="宋体" w:cs="Tahoma"/>
          <w:b/>
          <w:bCs/>
          <w:kern w:val="0"/>
          <w:sz w:val="44"/>
          <w:szCs w:val="44"/>
          <w:lang w:val="en-US" w:eastAsia="zh-CN"/>
        </w:rPr>
      </w:pPr>
      <w:r>
        <w:rPr>
          <w:rFonts w:hint="eastAsia" w:ascii="宋体" w:hAnsi="宋体" w:cs="Tahoma"/>
          <w:b/>
          <w:bCs/>
          <w:kern w:val="0"/>
          <w:sz w:val="44"/>
          <w:szCs w:val="44"/>
          <w:lang w:val="en-US" w:eastAsia="zh-CN"/>
        </w:rPr>
        <w:t xml:space="preserve">              </w:t>
      </w:r>
      <w:bookmarkStart w:id="0" w:name="_GoBack"/>
      <w:bookmarkEnd w:id="0"/>
      <w:r>
        <w:rPr>
          <w:rFonts w:hint="eastAsia" w:ascii="宋体" w:hAnsi="宋体" w:cs="Tahoma"/>
          <w:b/>
          <w:bCs/>
          <w:kern w:val="0"/>
          <w:sz w:val="44"/>
          <w:szCs w:val="44"/>
          <w:lang w:val="en-US" w:eastAsia="zh-CN"/>
        </w:rPr>
        <w:t xml:space="preserve">  </w:t>
      </w:r>
      <w:r>
        <w:rPr>
          <w:rFonts w:hint="eastAsia" w:ascii="宋体" w:hAnsi="宋体" w:eastAsia="宋体" w:cs="宋体"/>
          <w:color w:val="auto"/>
          <w:sz w:val="30"/>
          <w:szCs w:val="30"/>
          <w:lang w:val="en-US" w:eastAsia="zh-CN"/>
        </w:rPr>
        <w:t>资管处发[20</w:t>
      </w:r>
      <w:r>
        <w:rPr>
          <w:rFonts w:hint="eastAsia" w:ascii="宋体" w:hAnsi="宋体" w:cs="宋体"/>
          <w:color w:val="auto"/>
          <w:sz w:val="30"/>
          <w:szCs w:val="30"/>
          <w:lang w:val="en-US" w:eastAsia="zh-CN"/>
        </w:rPr>
        <w:t>18</w:t>
      </w:r>
      <w:r>
        <w:rPr>
          <w:rFonts w:hint="eastAsia" w:ascii="宋体" w:hAnsi="宋体" w:eastAsia="宋体" w:cs="宋体"/>
          <w:color w:val="auto"/>
          <w:sz w:val="30"/>
          <w:szCs w:val="30"/>
          <w:lang w:val="en-US" w:eastAsia="zh-CN"/>
        </w:rPr>
        <w:t>]</w:t>
      </w:r>
      <w:r>
        <w:rPr>
          <w:rFonts w:hint="eastAsia" w:ascii="宋体" w:hAnsi="宋体" w:cs="宋体"/>
          <w:color w:val="auto"/>
          <w:sz w:val="30"/>
          <w:szCs w:val="30"/>
          <w:lang w:val="en-US" w:eastAsia="zh-CN"/>
        </w:rPr>
        <w:t>2</w:t>
      </w:r>
      <w:r>
        <w:rPr>
          <w:rFonts w:hint="eastAsia" w:ascii="宋体" w:hAnsi="宋体" w:eastAsia="宋体" w:cs="宋体"/>
          <w:color w:val="auto"/>
          <w:sz w:val="30"/>
          <w:szCs w:val="30"/>
          <w:lang w:val="en-US" w:eastAsia="zh-CN"/>
        </w:rPr>
        <w:t>号</w:t>
      </w:r>
    </w:p>
    <w:p>
      <w:pPr>
        <w:widowControl/>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为规范固定资产的处置管理，确保学校固定资产安全，防止资产流失，提高资产的使用效益，根据</w:t>
      </w:r>
      <w:r>
        <w:rPr>
          <w:rFonts w:hint="eastAsia" w:cs="Arial" w:asciiTheme="minorEastAsia" w:hAnsiTheme="minorEastAsia" w:eastAsiaTheme="minorEastAsia"/>
          <w:kern w:val="0"/>
          <w:sz w:val="28"/>
          <w:szCs w:val="28"/>
          <w:lang w:val="zh-CN"/>
        </w:rPr>
        <w:t>《山东省省级行政事业国有资产处置管理办法》</w:t>
      </w:r>
      <w:r>
        <w:rPr>
          <w:rFonts w:hint="eastAsia" w:cs="宋体" w:asciiTheme="minorEastAsia" w:hAnsiTheme="minorEastAsia" w:eastAsiaTheme="minorEastAsia"/>
          <w:kern w:val="0"/>
          <w:sz w:val="28"/>
          <w:szCs w:val="28"/>
        </w:rPr>
        <w:t>（鲁财资〔2011〕78号）</w:t>
      </w:r>
      <w:r>
        <w:rPr>
          <w:rFonts w:hint="eastAsia" w:cs="Arial" w:asciiTheme="minorEastAsia" w:hAnsiTheme="minorEastAsia" w:eastAsiaTheme="minorEastAsia"/>
          <w:kern w:val="0"/>
          <w:sz w:val="28"/>
          <w:szCs w:val="28"/>
          <w:lang w:val="zh-CN"/>
        </w:rPr>
        <w:t>、</w:t>
      </w:r>
      <w:r>
        <w:rPr>
          <w:rFonts w:hint="eastAsia" w:cs="宋体" w:asciiTheme="minorEastAsia" w:hAnsiTheme="minorEastAsia" w:eastAsiaTheme="minorEastAsia"/>
          <w:kern w:val="0"/>
          <w:sz w:val="28"/>
          <w:szCs w:val="28"/>
        </w:rPr>
        <w:t>《山东理工大学国有资产管理办法》（</w:t>
      </w:r>
      <w:r>
        <w:rPr>
          <w:rFonts w:hint="eastAsia" w:cs="’Times New Roman’" w:asciiTheme="minorEastAsia" w:hAnsiTheme="minorEastAsia" w:eastAsiaTheme="minorEastAsia"/>
          <w:sz w:val="28"/>
          <w:szCs w:val="28"/>
        </w:rPr>
        <w:t>鲁理工大政发</w:t>
      </w:r>
      <w:r>
        <w:rPr>
          <w:rFonts w:hint="eastAsia" w:cs="宋体" w:asciiTheme="minorEastAsia" w:hAnsiTheme="minorEastAsia" w:eastAsiaTheme="minorEastAsia"/>
          <w:kern w:val="0"/>
          <w:sz w:val="28"/>
          <w:szCs w:val="28"/>
        </w:rPr>
        <w:t>〔</w:t>
      </w:r>
      <w:r>
        <w:rPr>
          <w:rFonts w:hint="eastAsia" w:cs="’Times New Roman’" w:asciiTheme="minorEastAsia" w:hAnsiTheme="minorEastAsia" w:eastAsiaTheme="minorEastAsia"/>
          <w:sz w:val="28"/>
          <w:szCs w:val="28"/>
        </w:rPr>
        <w:t>20</w:t>
      </w:r>
      <w:r>
        <w:rPr>
          <w:rFonts w:hint="eastAsia" w:cs="’Times New Roman’" w:asciiTheme="minorEastAsia" w:hAnsiTheme="minorEastAsia" w:eastAsiaTheme="minorEastAsia"/>
          <w:sz w:val="28"/>
          <w:szCs w:val="28"/>
          <w:lang w:val="en-US" w:eastAsia="zh-CN"/>
        </w:rPr>
        <w:t>17</w:t>
      </w:r>
      <w:r>
        <w:rPr>
          <w:rFonts w:hint="eastAsia" w:cs="宋体" w:asciiTheme="minorEastAsia" w:hAnsiTheme="minorEastAsia" w:eastAsiaTheme="minorEastAsia"/>
          <w:kern w:val="0"/>
          <w:sz w:val="28"/>
          <w:szCs w:val="28"/>
        </w:rPr>
        <w:t>〕</w:t>
      </w:r>
      <w:r>
        <w:rPr>
          <w:rFonts w:hint="eastAsia" w:cs="’Times New Roman’" w:asciiTheme="minorEastAsia" w:hAnsiTheme="minorEastAsia" w:eastAsiaTheme="minorEastAsia"/>
          <w:sz w:val="28"/>
          <w:szCs w:val="28"/>
          <w:lang w:val="en-US" w:eastAsia="zh-CN"/>
        </w:rPr>
        <w:t>170</w:t>
      </w:r>
      <w:r>
        <w:rPr>
          <w:rFonts w:hint="eastAsia" w:cs="’Times New Roman’" w:asciiTheme="minorEastAsia" w:hAnsiTheme="minorEastAsia" w:eastAsiaTheme="minorEastAsia"/>
          <w:sz w:val="28"/>
          <w:szCs w:val="28"/>
        </w:rPr>
        <w:t>号）</w:t>
      </w:r>
      <w:r>
        <w:rPr>
          <w:rFonts w:hint="eastAsia" w:cs="宋体" w:asciiTheme="minorEastAsia" w:hAnsiTheme="minorEastAsia" w:eastAsiaTheme="minorEastAsia"/>
          <w:kern w:val="0"/>
          <w:sz w:val="28"/>
          <w:szCs w:val="28"/>
        </w:rPr>
        <w:t>有关规定，</w:t>
      </w:r>
      <w:r>
        <w:rPr>
          <w:rFonts w:hint="eastAsia" w:cs="Arial" w:asciiTheme="minorEastAsia" w:hAnsiTheme="minorEastAsia" w:eastAsiaTheme="minorEastAsia"/>
          <w:kern w:val="0"/>
          <w:sz w:val="28"/>
          <w:szCs w:val="28"/>
          <w:lang w:val="zh-CN"/>
        </w:rPr>
        <w:t>结合我校实际情况，特制定本</w:t>
      </w:r>
      <w:r>
        <w:rPr>
          <w:rFonts w:hint="eastAsia" w:cs="宋体" w:asciiTheme="minorEastAsia" w:hAnsiTheme="minorEastAsia" w:eastAsiaTheme="minorEastAsia"/>
          <w:kern w:val="0"/>
          <w:sz w:val="28"/>
          <w:szCs w:val="28"/>
        </w:rPr>
        <w:t>细则</w:t>
      </w:r>
      <w:r>
        <w:rPr>
          <w:rFonts w:hint="eastAsia" w:cs="Arial" w:asciiTheme="minorEastAsia" w:hAnsiTheme="minorEastAsia" w:eastAsiaTheme="minorEastAsia"/>
          <w:kern w:val="0"/>
          <w:sz w:val="28"/>
          <w:szCs w:val="28"/>
          <w:lang w:val="zh-CN"/>
        </w:rPr>
        <w:t>。</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一、报废处置范围及条件</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Arial" w:asciiTheme="minorEastAsia" w:hAnsiTheme="minorEastAsia" w:eastAsiaTheme="minorEastAsia"/>
          <w:kern w:val="0"/>
          <w:sz w:val="28"/>
          <w:szCs w:val="28"/>
          <w:lang w:val="zh-CN"/>
        </w:rPr>
        <w:t>属于下列情况之一的，可以申请报废处置：</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（一）使用年限较长，安全无保证，可能造成危险且不易修复使用的资产；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（二）达到或超过规定的使用年限，丧失效能且不能改装使用的资产；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（三）质量低劣，不符合技术标准，应用中不能满足最低性能指标的资产；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（四）技术性能落后，耗能高，效益低，应该淘汰或国家禁止使用的资产；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（五）腐蚀老化，严重丧失精度性能，且无法修复的资产；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（六）虫蛀、鼠咬、严重损坏无法使用的资产；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（七）因自然灾害、事故或其它原因使资产严重损坏且无法修复的资产；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（八）虽能修复，但维修费用超过现在新购买同类资产单价三分之二的资产；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（九）根据实际情况，确需应该报废的资产。</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二、报废处置程序</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（一）提交报告。</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使用单位要组织相关人员对拟申请报废处置的资产进行充分论证，并经学院党政联席会议或单位办公会议研究通过后，形成处置报告交归口管理部门（教学科研仪器设备归口管理部门为教务处、后勤单位资产归口管理部门为后勤管理处、一般办公设备家具归口管理部门为资产管理处）。</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同时在固定资产管理系统提交《山东理工大学资产处置报告单》，打印纸质文档（一式四份），经使用单位资产管理员、经办人和部门负责人审核签字后，交归口管理部门。</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（二）校内调剂。</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本着厉行节约、勤俭办学的原则，对待报废资产首先进行校内调剂。资产管理处在校园办公网上发布资产调剂通知,并在固定资产查询系统上公布待报废固定资产清单，在全校范围内进行调剂。固定资产可以调剂的，调出单位填写《山东理工大学资产变动报告单》，由调出调入双方资产管理员按资产变动管理相关规定办理资产交接手续。</w:t>
      </w:r>
    </w:p>
    <w:p>
      <w:pPr>
        <w:widowControl/>
        <w:numPr>
          <w:ilvl w:val="0"/>
          <w:numId w:val="1"/>
        </w:numPr>
        <w:adjustRightInd w:val="0"/>
        <w:spacing w:line="600" w:lineRule="exact"/>
        <w:ind w:firstLine="560" w:firstLineChars="200"/>
        <w:jc w:val="left"/>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报废资产鉴定。</w:t>
      </w:r>
    </w:p>
    <w:p>
      <w:pPr>
        <w:widowControl/>
        <w:numPr>
          <w:ilvl w:val="0"/>
          <w:numId w:val="1"/>
        </w:numPr>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对无法调剂的待报废资产，资产归口管理部门负责组织有相关专家对分管的待报废资产进行技术鉴定，并填写鉴定意见。</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（四）学校审查及报上级主管部门审批。</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资产管理处负责对通过鉴定的全校所有待报废资产进行统计汇总，按规定程序逐级审查同意后，按要求上报省教育厅、财政厅审批备案。</w:t>
      </w:r>
    </w:p>
    <w:p>
      <w:pPr>
        <w:widowControl/>
        <w:numPr>
          <w:ilvl w:val="0"/>
          <w:numId w:val="2"/>
        </w:numPr>
        <w:adjustRightInd w:val="0"/>
        <w:spacing w:line="600" w:lineRule="exact"/>
        <w:ind w:firstLine="560" w:firstLineChars="200"/>
        <w:jc w:val="left"/>
        <w:rPr>
          <w:rFonts w:hint="eastAsia"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报废资产处置及账目处理。</w:t>
      </w:r>
    </w:p>
    <w:p>
      <w:pPr>
        <w:widowControl/>
        <w:numPr>
          <w:ilvl w:val="0"/>
          <w:numId w:val="2"/>
        </w:numPr>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学校成立报废资产处置小组，严格按照报废资产的处置管理程序规定，对已批准报废的资产进行处置；固定资产处置收入，统一交计划财务处。</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处置完毕，由资产管理处、计划财务处进行账务处理。</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三、报废处置工作要求</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（一）固定资产集中报废处置工作每年进行一次。各单位加强对本单位固定资产管理的同时，结合每年资产评价工作进行自查，对需要处置的资产按时办理相关手续。无特殊原因，逾期不再受理。</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二）使用单位要对报废资产进行账物核实。资产条码标识与提报的处置报告单上资产相符，做到账实相符。对于有帐无物的报废资产，使用单位要写明原因并提报资产管理处，由国有资产管理领导小组按《山东理工大学国有资产管理办法》的相关规定进行处理。</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（三）所有申请报废的设备及家具待调剂、鉴定后，由各使用单位按要求统一送交至资产管理处指定地点，确需留使用单位保存的，使用单位应对报废资产集中放置并妥善保存，以便于进行集中拍卖处置。</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（四）各资产使用单位对于具有再利用价值的资产尽量充分利用，并重新建账留存，待确无利用价值时再行处置。具有长期留存价值的资产，重新评估价值入学校固定资产帐进行管理。</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四、本细则自发布之日起执行。</w:t>
      </w:r>
    </w:p>
    <w:p>
      <w:pPr>
        <w:widowControl/>
        <w:adjustRightInd w:val="0"/>
        <w:spacing w:line="600" w:lineRule="exact"/>
        <w:ind w:firstLine="560" w:firstLineChars="200"/>
        <w:jc w:val="left"/>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 xml:space="preserve">五、本细则由资产管理处负责解释。 </w:t>
      </w: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default" w:cs="宋体" w:asciiTheme="minorEastAsia" w:hAnsiTheme="minorEastAsia" w:eastAsiaTheme="minorEastAsia"/>
          <w:kern w:val="0"/>
          <w:sz w:val="28"/>
          <w:szCs w:val="28"/>
          <w:lang w:val="en-US" w:eastAsia="zh-CN"/>
        </w:rPr>
      </w:pPr>
      <w:r>
        <w:rPr>
          <w:rFonts w:hint="eastAsia" w:cs="宋体" w:asciiTheme="minorEastAsia" w:hAnsiTheme="minorEastAsia" w:eastAsiaTheme="minorEastAsia"/>
          <w:kern w:val="0"/>
          <w:sz w:val="28"/>
          <w:szCs w:val="28"/>
          <w:lang w:val="en-US" w:eastAsia="zh-CN"/>
        </w:rPr>
        <w:t xml:space="preserve">                                       2018年3月20日</w:t>
      </w: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widowControl/>
        <w:spacing w:line="560" w:lineRule="atLeast"/>
        <w:jc w:val="left"/>
        <w:rPr>
          <w:rFonts w:hint="eastAsia" w:cs="宋体" w:asciiTheme="minorEastAsia" w:hAnsiTheme="minorEastAsia" w:eastAsiaTheme="minorEastAsia"/>
          <w:kern w:val="0"/>
          <w:sz w:val="28"/>
          <w:szCs w:val="28"/>
        </w:rPr>
      </w:pPr>
    </w:p>
    <w:p>
      <w:pPr>
        <w:rPr>
          <w:rFonts w:asciiTheme="minorEastAsia" w:hAnsiTheme="minorEastAsia" w:eastAsia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Times New Roman’">
    <w:altName w:val="宋体"/>
    <w:panose1 w:val="00000000000000000000"/>
    <w:charset w:val="86"/>
    <w:family w:val="roma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902063"/>
    <w:multiLevelType w:val="singleLevel"/>
    <w:tmpl w:val="26902063"/>
    <w:lvl w:ilvl="0" w:tentative="0">
      <w:start w:val="5"/>
      <w:numFmt w:val="chineseCounting"/>
      <w:suff w:val="space"/>
      <w:lvlText w:val="（%1）"/>
      <w:lvlJc w:val="left"/>
      <w:rPr>
        <w:rFonts w:hint="eastAsia"/>
      </w:rPr>
    </w:lvl>
  </w:abstractNum>
  <w:abstractNum w:abstractNumId="1">
    <w:nsid w:val="40BDBB87"/>
    <w:multiLevelType w:val="singleLevel"/>
    <w:tmpl w:val="40BDBB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2074"/>
    <w:rsid w:val="0004766F"/>
    <w:rsid w:val="00066926"/>
    <w:rsid w:val="000B0A58"/>
    <w:rsid w:val="000D202F"/>
    <w:rsid w:val="00182D4E"/>
    <w:rsid w:val="001A3A98"/>
    <w:rsid w:val="001B1AE1"/>
    <w:rsid w:val="001C7BB1"/>
    <w:rsid w:val="002E797B"/>
    <w:rsid w:val="00406BEA"/>
    <w:rsid w:val="00424BFC"/>
    <w:rsid w:val="00461004"/>
    <w:rsid w:val="004C1351"/>
    <w:rsid w:val="005E7B97"/>
    <w:rsid w:val="0061195F"/>
    <w:rsid w:val="006A6411"/>
    <w:rsid w:val="00712074"/>
    <w:rsid w:val="007B7C73"/>
    <w:rsid w:val="008F3639"/>
    <w:rsid w:val="00982F39"/>
    <w:rsid w:val="009B1502"/>
    <w:rsid w:val="00AF7E36"/>
    <w:rsid w:val="00CA72F5"/>
    <w:rsid w:val="00D014CF"/>
    <w:rsid w:val="00D503AE"/>
    <w:rsid w:val="00FE192D"/>
    <w:rsid w:val="033A1A02"/>
    <w:rsid w:val="4A486D22"/>
    <w:rsid w:val="55C75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FEB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1469</Words>
  <Characters>1482</Characters>
  <Lines>12</Lines>
  <Paragraphs>3</Paragraphs>
  <TotalTime>0</TotalTime>
  <ScaleCrop>false</ScaleCrop>
  <LinksUpToDate>false</LinksUpToDate>
  <CharactersWithSpaces>1522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2017-05-12T08:06:00Z</dcterms:created>
  <dc:creator>lenovo</dc:creator>
  <cp:lastModifiedBy>花明草媚</cp:lastModifiedBy>
  <dcterms:modified xsi:type="dcterms:W3CDTF">2021-09-27T01:58:47Z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E0C85D5F93F842B791A1777EF7F948A5</vt:lpwstr>
  </property>
</Properties>
</file>