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191919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191919"/>
          <w:spacing w:val="0"/>
          <w:sz w:val="36"/>
          <w:szCs w:val="36"/>
          <w:shd w:val="clear" w:fill="FFFFFF"/>
          <w:lang w:val="en-US" w:eastAsia="zh-CN"/>
        </w:rPr>
        <w:t>资产管理处党支部组织党员赴朱彦夫事迹展览馆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191919"/>
          <w:spacing w:val="0"/>
          <w:sz w:val="36"/>
          <w:szCs w:val="36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191919"/>
          <w:spacing w:val="0"/>
          <w:sz w:val="36"/>
          <w:szCs w:val="36"/>
          <w:shd w:val="clear" w:fill="FFFFFF"/>
          <w:lang w:val="en-US" w:eastAsia="zh-CN"/>
        </w:rPr>
        <w:t>开展党性教育活动</w:t>
      </w:r>
    </w:p>
    <w:p>
      <w:pPr>
        <w:ind w:firstLine="560" w:firstLineChars="200"/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</w:rPr>
        <w:t>为进一步坚定理想信念，加强党性教育，丰富组织生活，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</w:rPr>
        <w:t>日，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资产管理处党支部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</w:rPr>
        <w:t>赴沂源县西里镇张家泉村朱彦夫事迹展览馆参观学习，开展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党性教育</w:t>
      </w: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</w:rPr>
        <w:t>活动。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进入展馆后，大家认真聆听展馆工作人员的讲解，仔细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观看朱彦夫同志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劳动学习生活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时用过的实物、手稿、图片等珍贵资料。一幅幅图片、一件件实物、一个个故事，再现了朱彦夫同志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战争年代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英勇作战、退伍后回村带领群众治山治水、脱贫致富和残肢抱笔书写极限人生的生动场面，真实反映了朱彦夫同志对党忠诚、对人民赤诚、对事业虔诚的崇高品质，使在场的每一位同志接受了一次震撼心灵的精神洗礼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党性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教育。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667375" cy="3273425"/>
            <wp:effectExtent l="0" t="0" r="9525" b="3175"/>
            <wp:docPr id="1" name="图片 1" descr="IMG_9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95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随后，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在朱彦夫事迹展览馆门前巨大的党旗下，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党支部书记王希鹏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带领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全体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党员集体重温入党誓词，牢记入党初心，砥砺前行，并齐声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高唱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没有共产党就没有新中国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599430" cy="3140710"/>
            <wp:effectExtent l="0" t="0" r="1270" b="2540"/>
            <wp:docPr id="2" name="图片 2" descr="IMG_9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96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589270" cy="3215005"/>
            <wp:effectExtent l="0" t="0" r="11430" b="4445"/>
            <wp:docPr id="3" name="图片 3" descr="6648b912bfad27cce636b87869a71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648b912bfad27cce636b87869a71a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927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最后，年轻党员代表么振超发表参观感悟：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朱彦夫同志是新时代基层党员干部的优秀代表，经历了苦难人生，又创造了人生的辉煌，是我们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党员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学习的榜样。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我们要学习朱彦夫同志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不忘初心、坚定信念的精神，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牢固树立共产主义的远大理想，矢志不渝的践行共产主义信念；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学习他敢于担当、勇争一流的精神，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扎扎实实的做好本职工作，争做“爱师生、有活力、肯担当、懂规律、守规矩”的典范；决心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这次参观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学习为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契机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，扎实推动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资产管理处各项工作向好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开展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发挥好党支部的战斗堡垒作用、发挥好每一名共产党员的先锋模范作用，推动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学校资产管理工作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实现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采购效率和利用效率的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高质量发展。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</w:p>
    <w:p>
      <w:pPr>
        <w:ind w:firstLine="560" w:firstLineChars="200"/>
        <w:jc w:val="left"/>
        <w:rPr>
          <w:rFonts w:hint="default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2020年10月26日</w:t>
      </w:r>
    </w:p>
    <w:sectPr>
      <w:pgSz w:w="11906" w:h="16838"/>
      <w:pgMar w:top="1100" w:right="1463" w:bottom="476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03C08"/>
    <w:rsid w:val="0D6B18EB"/>
    <w:rsid w:val="14706A24"/>
    <w:rsid w:val="1AB24E7A"/>
    <w:rsid w:val="298D1E99"/>
    <w:rsid w:val="29B65E66"/>
    <w:rsid w:val="404E3D1F"/>
    <w:rsid w:val="42A3549A"/>
    <w:rsid w:val="600E7DDE"/>
    <w:rsid w:val="63375E9E"/>
    <w:rsid w:val="713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FEB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2020-10-26T00:53:00Z</dcterms:created>
  <dc:creator>资产管理处-巩法孝</dc:creator>
  <cp:lastModifiedBy>Administrator</cp:lastModifiedBy>
  <dcterms:modified xsi:type="dcterms:W3CDTF">2020-10-26T02:50:00Z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